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740" w:right="1900" w:hanging="1861"/>
        <w:spacing w:after="0" w:line="486" w:lineRule="auto"/>
        <w:tabs>
          <w:tab w:leader="none" w:pos="208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or15(d) of the Securities and Exchange Act of 1934 For the quarterly period ended </w:t>
      </w:r>
      <w:r>
        <w:rPr>
          <w:rFonts w:ascii="Times New Roman" w:cs="Times New Roman" w:eastAsia="Times New Roman" w:hAnsi="Times New Roman"/>
          <w:sz w:val="18"/>
          <w:szCs w:val="18"/>
          <w:b w:val="1"/>
          <w:bCs w:val="1"/>
          <w:u w:val="single" w:color="auto"/>
          <w:color w:val="auto"/>
        </w:rPr>
        <w:t>June 30, 2022</w:t>
      </w:r>
    </w:p>
    <w:p>
      <w:pPr>
        <w:spacing w:after="0" w:line="25" w:lineRule="exact"/>
        <w:rPr>
          <w:rFonts w:ascii="MS PGothic" w:cs="MS PGothic" w:eastAsia="MS PGothic" w:hAnsi="MS PGothic"/>
          <w:sz w:val="18"/>
          <w:szCs w:val="18"/>
          <w:color w:val="auto"/>
          <w:highlight w:val="black"/>
        </w:rPr>
      </w:pPr>
    </w:p>
    <w:p>
      <w:pPr>
        <w:ind w:left="2920" w:hanging="213"/>
        <w:spacing w:after="0"/>
        <w:tabs>
          <w:tab w:leader="none" w:pos="29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w:t>
      </w:r>
    </w:p>
    <w:p>
      <w:pPr>
        <w:spacing w:after="0" w:line="216"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0-9376</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0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20-1167761</w:t>
            </w:r>
          </w:p>
        </w:tc>
      </w:tr>
      <w:tr>
        <w:trPr>
          <w:trHeight w:val="20"/>
        </w:trPr>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5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 No.)</w:t>
            </w:r>
          </w:p>
        </w:tc>
      </w:tr>
      <w:tr>
        <w:trPr>
          <w:trHeight w:val="410"/>
        </w:trPr>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8"/>
        </w:trPr>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Bonita Springs, Florida 34135</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7"/>
        </w:trPr>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254635</wp:posOffset>
            </wp:positionV>
            <wp:extent cx="3284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3840" w:type="dxa"/>
            <w:vAlign w:val="bottom"/>
            <w:vMerge w:val="restart"/>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84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83"/>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47,176,567 shares of common stock outstanding as of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371" w:right="45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8840" w:type="dxa"/>
            <w:vAlign w:val="bottom"/>
            <w:gridSpan w:val="14"/>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46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18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Stockholders’ Equity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40" w:type="dxa"/>
            <w:vAlign w:val="bottom"/>
            <w:tcBorders>
              <w:top w:val="single" w:sz="8" w:color="0000EE"/>
            </w:tcBorders>
          </w:tcPr>
          <w:p>
            <w:pPr>
              <w:spacing w:after="0"/>
              <w:rPr>
                <w:sz w:val="17"/>
                <w:szCs w:val="17"/>
                <w:color w:val="auto"/>
              </w:rPr>
            </w:pPr>
          </w:p>
        </w:tc>
        <w:tc>
          <w:tcPr>
            <w:tcW w:w="454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(including cautionary statement)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6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7"/>
          </w:tcPr>
          <w:p>
            <w:pPr>
              <w:spacing w:after="0"/>
              <w:rPr>
                <w:sz w:val="17"/>
                <w:szCs w:val="17"/>
                <w:color w:val="auto"/>
              </w:rPr>
            </w:pPr>
          </w:p>
        </w:tc>
        <w:tc>
          <w:tcPr>
            <w:tcW w:w="45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08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75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54"/>
        </w:trPr>
        <w:tc>
          <w:tcPr>
            <w:tcW w:w="13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76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2,360,473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3,041,782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3,109,984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10,770,849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8,090,295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 of use assets, operating leases,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Right of use assets, finance leases,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amortizable intangible assets,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Goodwill and other unamortizable intangible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1,532,822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21,557,281</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23,782,938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6,285,703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 current portion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Line of Credit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2,014,333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Notes payable - current portion, net of discount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5,617,323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current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current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Contingent liability - current portion</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15,620,521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10,197,532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non-current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non-current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Contingent liability - long-term</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 payable - long term portion, net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5,409,172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16,283,851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16,372,837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&amp; Contingencies (see note 17)</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50,014,147 and 48,879,331 shares issued, and</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47,176,567 and 46,041,751 shares outstanding at June 30, 2022 and December 31, 2021,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41,980,090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41,662,710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Treasury stock: 2,623,171 and 2,623,171 shares outstanding at June 30, 2022 and December 31, 2021,</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(1,141,370)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(35,570,287)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(33,116,124)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5,273,430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21,557,281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76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20,523,156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13,974,564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36,166,267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27,991,438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19,044,058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8,174,829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5,522,049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4,663,302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10,694,475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9,514,130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4,663,302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(1,073,152)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(2,519,646)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(2,402,725)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leasing income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(112,372)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(150,634)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(1,223,786)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(937,524)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(2,454,163)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(1,223,786)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(937,524)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(2,454,163)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16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6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46,855,525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46,557,498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46,855,525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46,557,498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9"/>
          </w:tcPr>
          <w:p>
            <w:pPr>
              <w:jc w:val="right"/>
              <w:ind w:right="240"/>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Six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(2,454,163)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(2,781,395)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 of investment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prepaid loan fees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(1,779,184)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(571,480)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 and other current assets, net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(1,035,849)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(409,159)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(1,937,141)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Contingent liabilities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(35,162)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(3,257,083)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(4,876,983)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(92,633)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(92,633)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(12,686)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of offering costs for stock previously issued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Proceeds from Payroll Protection Plan Loan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(167,001)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Principal payments financing leases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(85,176)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Cost of debt financing</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(110,305)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(412,482)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(3,762,198)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(3,420,656)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2,360,473</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128,798</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(decrease) in right of use assets &amp; liabilities –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right of use assets &amp; liabilities –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to Fifth Third Bank paid directly by MapleMark Bank</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7,695,866</w:t>
            </w:r>
          </w:p>
        </w:tc>
        <w:tc>
          <w:tcPr>
            <w:tcW w:w="14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ectPr>
          <w:pgSz w:w="11900" w:h="16838" w:orient="portrait"/>
          <w:cols w:equalWidth="0" w:num="1">
            <w:col w:w="10960"/>
          </w:cols>
          <w:pgMar w:left="460" w:top="121" w:right="47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40" w:type="dxa"/>
            <w:vAlign w:val="bottom"/>
            <w:gridSpan w:val="4"/>
            <w:vMerge w:val="continue"/>
          </w:tcPr>
          <w:p>
            <w:pPr>
              <w:spacing w:after="0"/>
              <w:rPr>
                <w:sz w:val="13"/>
                <w:szCs w:val="13"/>
                <w:color w:val="auto"/>
              </w:rPr>
            </w:pPr>
          </w:p>
        </w:tc>
        <w:tc>
          <w:tcPr>
            <w:tcW w:w="1040" w:type="dxa"/>
            <w:vAlign w:val="bottom"/>
            <w:gridSpan w:val="3"/>
          </w:tcPr>
          <w:p>
            <w:pPr>
              <w:jc w:val="center"/>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2021 (unaudited)</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38,495,314</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3,846</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$ 37,572,917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(34,243,664)</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stock and stock options</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157,558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three months ended June 30, 2021</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(937,524)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(937,524)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2021 (unaudited)</w:t>
            </w:r>
          </w:p>
        </w:tc>
        <w:tc>
          <w:tcPr>
            <w:tcW w:w="1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38,800,629</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3,877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$ 37,730,475</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(35,181,188</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1,411,794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2022 (unaudited)</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49,343,846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41,815,390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(1,141,370)</w:t>
            </w:r>
          </w:p>
        </w:tc>
        <w:tc>
          <w:tcPr>
            <w:tcW w:w="104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(34,346,501)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6,332,450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stock and stock options</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493,999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152,677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expenses for stock previously sold for cash</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for services</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options issued to consultant</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three months ended June 30, 2022</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(1,223,786)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2022 (unaudited)</w:t>
            </w:r>
          </w:p>
        </w:tc>
        <w:tc>
          <w:tcPr>
            <w:tcW w:w="1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50,014,147</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4,997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$ 41,980,090</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(35,570,287</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5,273,430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 AND 2021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4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40" w:type="dxa"/>
            <w:vAlign w:val="bottom"/>
            <w:gridSpan w:val="4"/>
            <w:vMerge w:val="continue"/>
          </w:tcPr>
          <w:p>
            <w:pPr>
              <w:spacing w:after="0"/>
              <w:rPr>
                <w:sz w:val="13"/>
                <w:szCs w:val="13"/>
                <w:color w:val="auto"/>
              </w:rPr>
            </w:pPr>
          </w:p>
        </w:tc>
        <w:tc>
          <w:tcPr>
            <w:tcW w:w="1040" w:type="dxa"/>
            <w:vAlign w:val="bottom"/>
            <w:gridSpan w:val="3"/>
          </w:tcPr>
          <w:p>
            <w:pPr>
              <w:jc w:val="center"/>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2020</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38,209,060</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3,817</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$ 37,415,155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(32,399,793)</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3,877,809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stock and stock options</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591,569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315,320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six months ended June 30, 2021</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(2,781,395)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(2,781,395)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2021 (unaudited)</w:t>
            </w:r>
          </w:p>
        </w:tc>
        <w:tc>
          <w:tcPr>
            <w:tcW w:w="1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38,800,629</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3,877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$ 37,730,475</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(35,181,188</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1,411,794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rPr>
                <w:sz w:val="11"/>
                <w:szCs w:val="11"/>
                <w:color w:val="auto"/>
              </w:rPr>
            </w:pPr>
          </w:p>
        </w:tc>
        <w:tc>
          <w:tcPr>
            <w:tcW w:w="1040" w:type="dxa"/>
            <w:vAlign w:val="bottom"/>
            <w:gridSpan w:val="3"/>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48,879,331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41,662,710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(1,141,370)</w:t>
            </w:r>
          </w:p>
        </w:tc>
        <w:tc>
          <w:tcPr>
            <w:tcW w:w="104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(33,116,124)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7,410,101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stock and stock options</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958,514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305,357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expenses for stock previously sold for cash</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for services</w:t>
            </w:r>
          </w:p>
        </w:tc>
        <w:tc>
          <w:tcPr>
            <w:tcW w:w="1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options issued to consultant</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six months ended June 30, 2022</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(2,454,163)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(2,454,163)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2022 (unaudited)</w:t>
            </w:r>
          </w:p>
        </w:tc>
        <w:tc>
          <w:tcPr>
            <w:tcW w:w="1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50,014,147</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4,997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$ 41,980,090</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(35,570,287</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5,273,430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2021. In the opinion of management, the interim unaudited condensed consolidated financial statements reflect all adjustments, including normal recurring adjustments, necessary for fair presentation of the interim periods presented. The results of the operations for the three and six months ended June 30, 2022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business is currently conducted by our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or “Mouth”),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IFP was formed to hold the Company’s real estate holdings including the recently acquired facility in Mountaintop, Pennsylvania.</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igourmet has been in the business of providing D2C specialty food via e-commerce through its own website at www.igourmet.com and through other channels such as www.amazon.com, www.ebay.com,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 Innovations focus is to leverage acquired assets to expand the Company’s subscription-based e-commerce business activities and to launch new businesses leveraging the Company’s e-commerce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Innovations is focused on plant-based D2C brands and online retail within the e-commerce 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Innovations provides 3rd party warehouse and fulfillment services out of its location at the Company’s PA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Innovative Food Holdings, Inc., and its wholly owned operating subsidiaries, Artisan, FII, FNM, OFB, GFG, GFW, Gourmeting, Haley, Oasis, Innovative Gourmet, Food Funding, IFP, L Innovations, M Innovations, P Innovations, MIF, M Foods, PlantBelly, Plant Innovations, IFI, IGP, and Gourmet. All material intercompany transactions have been eliminated upon consolidation of these entities.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June 30, 2022 and December 31, 2021, trade receivables from the Company’s largest customer amounted to 28% and 28%, respectively, of total trade receivables. During the six months ended June 30, 2022 and 2021, sales from the Company’s largest customer amounted to 49% and 46% of total sales,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June 30, 2022 and December 31, 2021, the total cash in excess of these limits was $1,144,563 and $4,555,032,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revenue from product sales,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(2,376,151)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March 31, 2021 (unaudited)</w:t>
            </w: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1,133,411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2021 (unaudited)</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 (unaudited)</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(128,686)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 (unaudited)</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1,222,247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and six months ended June 30, 2022 and 2021: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16,900,908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10,160,910</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3,285,073</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Brand Management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265,337</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Logistics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185,104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263,244</w:t>
            </w:r>
          </w:p>
        </w:tc>
        <w:tc>
          <w:tcPr>
            <w:tcW w:w="8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20,523,156</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13,974,564</w:t>
            </w:r>
          </w:p>
        </w:tc>
        <w:tc>
          <w:tcPr>
            <w:tcW w:w="8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28,441,743</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16,988,837</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6,797,669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8,265,011</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Brand Management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490,931</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Logistics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390,889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410,684</w:t>
            </w:r>
          </w:p>
        </w:tc>
        <w:tc>
          <w:tcPr>
            <w:tcW w:w="8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36,166,267</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26,155,463</w:t>
            </w:r>
          </w:p>
        </w:tc>
        <w:tc>
          <w:tcPr>
            <w:tcW w:w="8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June 30,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June 30, 2022:</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9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Pr>
          <w:p>
            <w:pPr>
              <w:spacing w:after="0"/>
              <w:rPr>
                <w:sz w:val="20"/>
                <w:szCs w:val="20"/>
                <w:color w:val="auto"/>
              </w:rPr>
            </w:pPr>
          </w:p>
        </w:tc>
        <w:tc>
          <w:tcPr>
            <w:tcW w:w="2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0.41</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18"/>
                <w:szCs w:val="18"/>
                <w:color w:val="auto"/>
              </w:rPr>
            </w:pP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0.60</w:t>
            </w:r>
          </w:p>
        </w:tc>
        <w:tc>
          <w:tcPr>
            <w:tcW w:w="2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320" w:type="dxa"/>
            <w:vAlign w:val="bottom"/>
          </w:tcPr>
          <w:p>
            <w:pPr>
              <w:spacing w:after="0"/>
              <w:rPr>
                <w:sz w:val="18"/>
                <w:szCs w:val="18"/>
                <w:color w:val="auto"/>
              </w:rPr>
            </w:pP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3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3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320" w:type="dxa"/>
            <w:vAlign w:val="bottom"/>
          </w:tcPr>
          <w:p>
            <w:pPr>
              <w:spacing w:after="0"/>
              <w:rPr>
                <w:sz w:val="18"/>
                <w:szCs w:val="18"/>
                <w:color w:val="auto"/>
              </w:rPr>
            </w:pP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June 30,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Grants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there were an aggregate 112,052 unvested stock grants outstanding due to the Company’s two independent directors. These grants will vest as follows: 25,816 per quarter through December 31, 2022, and 15,106 per quarter through September 30, 2023, and 15,102 during the quarter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June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June 30, 2021:</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2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8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0"/>
                <w:szCs w:val="20"/>
                <w:color w:val="auto"/>
              </w:rPr>
            </w:pPr>
          </w:p>
        </w:tc>
      </w:tr>
      <w:tr>
        <w:trPr>
          <w:trHeight w:val="209"/>
        </w:trPr>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r>
      <w:tr>
        <w:trPr>
          <w:trHeight w:val="216"/>
        </w:trPr>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8"/>
                <w:szCs w:val="18"/>
                <w:color w:val="auto"/>
              </w:rPr>
            </w:pPr>
          </w:p>
        </w:tc>
      </w:tr>
      <w:tr>
        <w:trPr>
          <w:trHeight w:val="216"/>
        </w:trPr>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8"/>
                <w:szCs w:val="18"/>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1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charged the amount of $35,878 and $71,958 to operations in connection with stock options during the three and six months ended June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June 30, 2021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Grants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2021, the Company incurred obligations to issue the following shares of common stock pursuant to compensation agreements: an aggregate of 50,070 and 100,140 shares of common stock, respectively, to board members; and an aggregate total of 255,245 and 491,429 shares of common stock, respectively, to Executive Officers. Some of these shares or other shares owned by the Company’s employees are included in a 10b5-1 selling plan.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charged the amount of $121,711 and $243,422 to operations in connection with stock grants during the three and six months ended June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Recent Accounting Pronouncements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adopted this standard effective January 1, 2021; adoption of this standard did not have a material effect on our consolidated financial statements and related disclosures.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us on January 1, 2022; adoption of this standard did not have a material effect on our consolidated financial statements and related disclosures.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which contemplate continuation of the Company as a going concern. The Company had an accumulated deficit of $35,570,287 at June 30, 2022 and negative cash flow from operations in the amount of $3,257,083 for the six months ended June 30, 2022. The Company’s current liabilities exceeded its current assets by $4,849,672 as of June 30, 2022. The Company has reported a net loss of $2,454,163 for the six months ended June 30,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working to manage its current liabilities while it continues to make changes in operations to further improve its cash flow and liquidity position. Management believes the Company will generate sufficient capital from operations and, if additional financing is required, from debt and equity financing in order to satisfy current liabilities in the succeeding twelve months. Management’s belief is based, if necessary, on the Company’s operating plans, which in turn is based on assumptions that may prove to be incorrect.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6, 2022, the Company entered into the following loan agreements with MapleMark: the MapleMark Revolver, with a balance at June 30, 2022 of $2,014,333; the MapleMark Term Loan 1, with a balance at June 30, 2022 of $5,324,733; and the MapleMark Term Loan 2, with a balance at June 30, 2022 $356,800 (the “MapleMark Loans”). See notes 13 and 14. The total debt due to MapleMark at June 30, 2022 was $7,695,866. The purpose of the MapleMark Loans was to recapitalize the Company’s debt by the loans payable to Fifth Third Bank in the aggregate amount of $5,665,456.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MapleMark Revolver has an initial maturity date of November 28, 2022; the MapleMark Term Loans 1 and 2 have initial maturity dates of November 28, 2022. The Company has applied for, and expects to receive, loan guarantees from the United States Department of Agriculture pursuant to its Business and Industry Guarantee Loan Program, though there can be no assurance that these guarantees will be received. Upon receipt of these loan guarantees, the maturity date of the Revolver will be extended to November 28, 2023, and the maturity date of the Term Loans will be extended to June 6, 2052.</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cash flow from operations is insufficient, the Company may require additional financing in order to execute its operating plan and continue as a going concern. The Company cannot predict whether this additional financing will be in the form of equity or debt, or be in another form. The Company may not be able to obtain the necessary additional capital on a timely basis, on acceptable terms, or at all. 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 The Company has not made any adjustments to the financial statements which would be necessary should the Company not be able to continue as a going concern.</w:t>
      </w:r>
    </w:p>
    <w:p>
      <w:pPr>
        <w:sectPr>
          <w:pgSz w:w="11900" w:h="16838" w:orient="portrait"/>
          <w:cols w:equalWidth="0" w:num="1">
            <w:col w:w="10960"/>
          </w:cols>
          <w:pgMar w:left="460" w:top="121" w:right="47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5,390,106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3,632,695</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(362,214)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(375,931)</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3,256,764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00" w:space="720"/>
            <w:col w:w="4340"/>
          </w:cols>
          <w:pgMar w:left="460" w:top="121"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charged the amount of $9,171 and $8,056 to bad debt expense, respectively; during the previous period the Company charged the amount of $25,666 and $27,987 to bad debt expense,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June 30, 2022 and December 31, 2021, inventory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110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2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3,041,782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3,109,984</w:t>
            </w:r>
          </w:p>
        </w:tc>
        <w:tc>
          <w:tcPr>
            <w:tcW w:w="80" w:type="dxa"/>
            <w:vAlign w:val="bottom"/>
            <w:shd w:val="clear" w:color="auto" w:fill="CCEEFF"/>
          </w:tcPr>
          <w:p>
            <w:pPr>
              <w:spacing w:after="0"/>
              <w:rPr>
                <w:sz w:val="22"/>
                <w:szCs w:val="22"/>
                <w:color w:val="auto"/>
              </w:rPr>
            </w:pPr>
          </w:p>
        </w:tc>
        <w:tc>
          <w:tcPr>
            <w:tcW w:w="1080" w:type="dxa"/>
            <w:vAlign w:val="bottom"/>
          </w:tcPr>
          <w:p>
            <w:pPr>
              <w:spacing w:after="0"/>
              <w:rPr>
                <w:sz w:val="22"/>
                <w:szCs w:val="22"/>
                <w:color w:val="auto"/>
              </w:rPr>
            </w:pPr>
          </w:p>
        </w:tc>
      </w:tr>
      <w:tr>
        <w:trPr>
          <w:trHeight w:val="412"/>
        </w:trPr>
        <w:tc>
          <w:tcPr>
            <w:tcW w:w="110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Building</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is used by Artisan and other subsidiaries of the Company for the purposes of new product testing and development and approval, Quality Assurance and Quality Control as well as sales presentations and customer demonstrations. In addition, we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non-GMO, diet specific and other specialty foods. The test kitchen, packaging room and additional improvements were financed by a loan from Fifth Third Bank.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on the building and the related improvements, furniture, fixtures, and equipment began when the Company occupied the facility in October, 2015.</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2022 was $16,400,000. Related to the Facility purchase, the Company entered into a commercial loan agreement for both the purchase price and planned improvements to the Facility. The amount of the loan was $5,500,000, of which $3,600,000 had been utilized at December 31, 2021 in connection with the purchase of the Facility; the lender is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 On October 5, 2020, the Company completed work to upgrade the Facility at a cost of $2,231,458 in order to better support the Company’s focus on e-commerce and logistics. Of the build out costs, $1,900,000 was funded by the loan described below. On June 9, 2022, the principal and interest due on this note in the amount of $5,168,000 and $14,967, respectively, were paid directly to Fifth Third Bank by MapleMark in connection with MapleMark Term Loan 1. See note 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property and equipment at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1,256,895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1,256,895</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7,191,451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593,566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376,667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944,233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10,544,910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10,472,253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(2,454,615)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(2,286,026)</w:t>
            </w: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9"/>
        </w:trPr>
        <w:tc>
          <w:tcPr>
            <w:tcW w:w="110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8,090,295</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8,186,227</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amounted to $91,616 and $100,373 for the three months ended June 30, 2022 and 2021, respectively. Depreciation and amortization expense for property and equipment amounted to $188,565 and $200,537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three months ended June 30, 2022 and 2021 was entirely comprised of operating leases and amounted to $18,729 and $31,727, respectively. The Company’s lease expense for the six months ended June 30, 2022 and 2021 was entirely comprised of operating leases and amounted to $41,973 and $58,582,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June 30, 2022 and 2021 was $15,471 and $26,771, respectively. The Company’s ROU asset amortization for the six months ended June 30, 2022 and 2021 was $35,162 and $49,700,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(64,665)</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158,293</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June 30, 2023</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June 30, 2024</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June 30, 2025</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June 30, 2026</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June 30, 2027</w:t>
            </w:r>
          </w:p>
        </w:tc>
        <w:tc>
          <w:tcPr>
            <w:tcW w:w="1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(18,338)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Lease liability</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See note 15.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362,358</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Pr>
          <w:p>
            <w:pPr>
              <w:spacing w:after="0"/>
              <w:rPr>
                <w:sz w:val="18"/>
                <w:szCs w:val="18"/>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917,774</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(319,343)</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(248,735)</w:t>
            </w:r>
          </w:p>
        </w:tc>
      </w:tr>
      <w:tr>
        <w:trPr>
          <w:trHeight w:val="20"/>
        </w:trPr>
        <w:tc>
          <w:tcPr>
            <w:tcW w:w="4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 of use assets - financing leases, net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640,931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669,039</w:t>
            </w:r>
          </w:p>
        </w:tc>
        <w:tc>
          <w:tcPr>
            <w:tcW w:w="80" w:type="dxa"/>
            <w:vAlign w:val="bottom"/>
            <w:shd w:val="clear" w:color="auto" w:fill="CCEEFF"/>
          </w:tcPr>
          <w:p>
            <w:pPr>
              <w:spacing w:after="0"/>
              <w:rPr>
                <w:sz w:val="19"/>
                <w:szCs w:val="19"/>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right of use assets for the three months ended June 30, 2022 and 2021 was $39,427 and $32,848, respectively. Depreciation expense for right of use assets for the six months ended June 30, 2022 and 2021 was $70,608 and $65,696,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made investments in certain early stage food related companies which it expects can benefit from synergies with the Company’s various operating businesses. At June 30, 2022 and 2021 the Company has investments in seven food related companies in the aggregate amount of $286,725. The Company does not have significant influence over the operations of these companies.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ASC No. 325-20, “Investments – Other”, in determining to account for the investment using the cost method since the equity securities are not marketable and do not give the Company significant influence.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the founder of one of the food related companies passed away in an untimely tragic accident, and as a result the food related company ceased operations and the Company recognized an impairment in the amount of $209,850 in connection with that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Innovative Gourmet, OFB, Haley, and M Innovations. These assets include non-compete agreements, customer relationships, trade names, internally developed technology, and goodwill. The Company has also capitalized the development of its website.</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detailed in ASC 350 “Intangibles - Goodwill and Other”,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and M Innovations; the intangible assets acquired pursuant to the acquisitions of OFB and Haley were fully amortized at the time of the impairment test.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Impairment Test</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year ended December 31, 2020. At June 30, 2022 and December 31, 2021, the net carrying value of other intangible assets on the Company’s balance sheet was $1,584,478 and $1,605,040, respectively.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Innovative Gourmet, OFB, Haley, and M Innovations. The following is the net book value of these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 - amortizable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Website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6,716,642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(5,132,164)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1,584,478</w:t>
            </w:r>
          </w:p>
        </w:tc>
        <w:tc>
          <w:tcPr>
            <w:tcW w:w="100" w:type="dxa"/>
            <w:vAlign w:val="bottom"/>
            <w:shd w:val="clear" w:color="auto" w:fill="CCEEFF"/>
          </w:tcPr>
          <w:p>
            <w:pPr>
              <w:spacing w:after="0"/>
              <w:rPr>
                <w:sz w:val="19"/>
                <w:szCs w:val="19"/>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 - amortizable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Website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6,716,642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(5,111,602)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1,605,040</w:t>
            </w:r>
          </w:p>
        </w:tc>
        <w:tc>
          <w:tcPr>
            <w:tcW w:w="100" w:type="dxa"/>
            <w:vAlign w:val="bottom"/>
            <w:shd w:val="clear" w:color="auto" w:fill="CCEEFF"/>
          </w:tcPr>
          <w:p>
            <w:pPr>
              <w:spacing w:after="0"/>
              <w:rPr>
                <w:sz w:val="19"/>
                <w:szCs w:val="19"/>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June 30, 2022 and 2021 was $10,331 and $2,870, respectively. Total amortization expense for the six months ended June 30, 2022 and 2021 was $20,562 and $5,740,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June 30, 2022 and December 31, 2021 are as follows:</w:t>
      </w:r>
    </w:p>
    <w:p>
      <w:pPr>
        <w:sectPr>
          <w:pgSz w:w="11900" w:h="16838" w:orient="portrait"/>
          <w:cols w:equalWidth="0" w:num="1">
            <w:col w:w="10980"/>
          </w:cols>
          <w:pgMar w:left="46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880"/>
        <w:spacing w:after="0" w:line="298" w:lineRule="auto"/>
        <w:rPr>
          <w:sz w:val="20"/>
          <w:szCs w:val="20"/>
          <w:color w:val="auto"/>
        </w:rPr>
      </w:pPr>
      <w:r>
        <w:rPr>
          <w:rFonts w:ascii="Times New Roman" w:cs="Times New Roman" w:eastAsia="Times New Roman" w:hAnsi="Times New Roman"/>
          <w:sz w:val="17"/>
          <w:szCs w:val="17"/>
          <w:color w:val="auto"/>
        </w:rPr>
        <w:t>Trade payables and accrued liabilities Accrued payroll and commissions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6,013,230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5,414,731</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272,473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288,174</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6,285,703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5,702,905</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-445135</wp:posOffset>
            </wp:positionV>
            <wp:extent cx="55721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-162560</wp:posOffset>
            </wp:positionV>
            <wp:extent cx="55721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2">
            <w:col w:w="4680" w:space="720"/>
            <w:col w:w="5580"/>
          </w:cols>
          <w:pgMar w:left="460" w:top="121"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accrued interest on notes outstanding was $43,535. During the three months ended June 30, 2022 and 2021, the Company paid cash for interest in the aggregate amount of $43,837 and $79,361, respectively. During the six months ended June 30, 2022 and 2021, the Company paid cash for interest in the aggregate amount of $128,798 and $162,636,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REVOLVING CREDIT FACILITIES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revolving  credit  facility  with  MapleMark  Bank</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the “MapleMark Revolver”) in the initial amount of $2,014,333. This amount was paid by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directly to Fifth Third Bank in satisfaction of the Fifth Third Bank Line of Credit. Any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borrowed under the MapleMark Revolver will bear interest at the greater of (a) the Base Rate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rate of interest per annum quoted in the “Money Rates” section of The Wall Street Journal from time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time and designated as the “Prime Rate”) plus 0.25% per annum and (b) 3.50% per annum.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Revolver matures on November 28, 2022 and in the event United States Department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Agriculture issues a guarantee of repayment of the MapleMark Revolver in favor of the Company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its Business and Industry Loan Guarantee Program (the “USDA Guarantee”), at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option, the amount of the MapleMark Revolver can be expanded to $3,000,000 and its term</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extended to November 28, 2023. The Company has applied for a USDA Guarantee; at June 30, 2022, this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 had not yet been received. The MapleMark Revolver contains negative covenants that, subject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certain exceptions, limit the ability of the Company and its subsidiaries to, among other things, incur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indebtedness, make restricted payments, pledge their assets as security, make investments,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advances, guarantees and acquisitions, undergo fundamental changes and enter into transactions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affiliates. The Company is also subject to a fixed charge coverage ratio covenant for the Revolver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as described in more detail in the MapleMark Revolver. During the three and six months ended June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2022, the Company accrued interest in the amount of $6,099 on the MapleMark Revolver.</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2,014,333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0960"/>
          </w:cols>
          <w:pgMar w:left="460" w:top="121"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Line of credit facility with Fifth Third Bank in the original amount of $2,000,000 with an interest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1508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5087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plus 3.00% (the “Fifth Third Bank Line of Credit”). Effective August 1, 2019, this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extended to August 1, 2021. Effective as of July 31, 2021 this credit facility was extended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2021: effective as of October 29, 2021, this credit facility was extended to March 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effective March 1, 2022, this credit facility was extended to June 30, 2022. The debt covenants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were waived until June 30, 2022. On March 20, 2020, the Company drew down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$2,000,000. During the three and six months ended June 30, 2022, the Company paid interest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$22,459 and $44,681 respectively, on the Fifth Third Bank Line of Credit. On June 9, 2022,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outstanding principal in the amount of $2,000,000 and accrued interest in the amount of $14,333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paid directly to Fifth Third Bank by MapleMark in connection with the MapleMark Revolver. The</w:t>
      </w:r>
    </w:p>
    <w:p>
      <w:pPr>
        <w:spacing w:after="0" w:line="9"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8"/>
          <w:szCs w:val="18"/>
          <w:color w:val="auto"/>
        </w:rPr>
        <w:t>Fifth Third Bank Line of Credit is paid in full.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bl>
    <w:p>
      <w:pPr>
        <w:spacing w:after="0" w:line="1" w:lineRule="exact"/>
        <w:rPr>
          <w:sz w:val="20"/>
          <w:szCs w:val="20"/>
          <w:color w:val="auto"/>
        </w:rPr>
      </w:pPr>
    </w:p>
    <w:p>
      <w:pPr>
        <w:sectPr>
          <w:pgSz w:w="11900" w:h="16838" w:orient="portrait"/>
          <w:cols w:equalWidth="0" w:num="2">
            <w:col w:w="8440" w:space="720"/>
            <w:col w:w="1800"/>
          </w:cols>
          <w:pgMar w:left="460" w:top="121" w:right="479" w:bottom="1440" w:gutter="0" w:footer="0" w:header="0"/>
          <w:type w:val="continuous"/>
        </w:sectPr>
      </w:pPr>
    </w:p>
    <w:p>
      <w:pPr>
        <w:spacing w:after="0"/>
        <w:tabs>
          <w:tab w:leader="none" w:pos="7780" w:val="left"/>
          <w:tab w:leader="none" w:pos="8480" w:val="left"/>
          <w:tab w:leader="none" w:pos="9420" w:val="left"/>
          <w:tab w:leader="none" w:pos="10120" w:val="left"/>
        </w:tabs>
        <w:rPr>
          <w:sz w:val="20"/>
          <w:szCs w:val="20"/>
          <w:color w:val="auto"/>
        </w:rPr>
      </w:pPr>
      <w:r>
        <w:rPr>
          <w:rFonts w:ascii="Times New Roman" w:cs="Times New Roman" w:eastAsia="Times New Roman" w:hAnsi="Times New Roman"/>
          <w:sz w:val="28"/>
          <w:szCs w:val="28"/>
          <w:color w:val="auto"/>
          <w:vertAlign w:val="subscript"/>
        </w:rPr>
        <w:t>Total</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8"/>
          <w:szCs w:val="18"/>
          <w:color w:val="auto"/>
        </w:rPr>
        <w:t>2,014,333</w:t>
        <w:tab/>
        <w:t>$</w:t>
      </w:r>
      <w:r>
        <w:rPr>
          <w:sz w:val="20"/>
          <w:szCs w:val="20"/>
          <w:color w:val="auto"/>
        </w:rPr>
        <w:tab/>
      </w:r>
      <w:r>
        <w:rPr>
          <w:rFonts w:ascii="Times New Roman" w:cs="Times New Roman" w:eastAsia="Times New Roman" w:hAnsi="Times New Roman"/>
          <w:sz w:val="18"/>
          <w:szCs w:val="18"/>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608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NOTES PAYABLE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1”) for the original amount of $5,324,733. This amount was paid by MapleMark directly to</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in satisfaction the outstanding principal and interest due under existing loans with Fifth</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Bank. The MapleMark Term Loan 1 matures on November 28, 2022. Upon receipt of the USDA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 the Company will have the option of extending the term of the Term Loan 1 to June 6, 2052.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outstanding under the Term Loans will bear interest at the rate equal to the lesser of (a) the</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Journal) plus 1.25% per annum or (ii) 4.50% per annum. The Term Loan Agreements contain negative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covenants that, subject to certain exceptions, limits the ability of the Company and its subsidiaries to,</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other things, incur additional indebtedness, make restricted payments, pledge their assets as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make investments, loans, advances, guarantees and acquisitions, undergo fundamental changes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enter into transactions with affiliates. The Term Loan Agreements also provides that the Company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its subsidiaries on a consolidated basis, meet a Fixed Charge Coverage Ratio as described in detail in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Agreements. The Term Loan Agreements contain events of default that are customary for a facility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this nature, including (subject in certain cases to grace periods and thresholds) nonpayment of principal,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nonpayment of interest, fees or other amounts, material inaccuracy of representations and warranties,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violation of covenants, cross-default to certain other existing indebtedness, bankruptcy or insolvency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events, and certain judgment defaults as specified in the Term Loan Agreements. If an event of default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occurs, the maturity of the amounts owed under the Term Loan Agreements may be accelerated.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the Term Loan Agreements are guaranteed by the Company and IFP and are secured by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mortgages on their real estate located in Florida, Illinois, and Pennsylvania and substantially all of their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in each case, subject to certain exceptions and permitted liens. The Company recorded a discount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this loan in the amount of $57,106 in connection with financing costs; $7,832 of this amount was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to interest expense during the three and six months ended June 30, 2022. During the three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2022, the Company accrued interest in the amount of $19,524 on this loan.</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5,324,733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2”) for the original amount of $356,800. This amount was paid by MapleMark directly to Fifth</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Bank in satisfaction the outstanding principal and interest due under existing loans with Fifth Third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The MapleMark Term Loan 1 matures on November 28, 2022. Upon receipt of the USDA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 the Company will have the option of extending the term of the Term Loan 1 to June 6, 2052.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outstanding under the Term Loans will bear interest at the rate equal to the lesser of (a) the</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Journal) plus 1.25% per annum or (ii) 4.50% per annum. The Term Loan Agreements contain negative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covenants that, subject to certain exceptions, limits the ability of the Company and its subsidiaries to,</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other things, incur additional indebtedness, make restricted payments, pledge their assets as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make investments, loans, advances, guarantees and acquisitions, undergo fundamental changes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enter into transactions with affiliates. The Term Loan Agreements also provides that the Company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its subsidiaries on a consolidated basis, meet a Fixed Charge Coverage Ratio as described in detail in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Agreements. The Term Loan Agreements contain events of default that are customary for a facility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this nature, including (subject in certain cases to grace periods and thresholds) nonpayment of principal,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nonpayment of interest, fees or other amounts, material inaccuracy of representations and warranties,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violation of covenants, cross-default to certain other existing indebtedness, bankruptcy or insolvency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events, and certain judgment defaults as specified in the Term Loan Agreements. If an event of default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occurs, the maturity of the amounts owed under the Term Loan Agreements may be accelerated. The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the Term Loan Agreements are guaranteed by the Company and IFP and are secured by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mortgages on their real estate located in Florida, Illinois, and Pennsylvania and substantially all of their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in each case, subject to certain exceptions and permitted liens. The Company recorded a discount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this loan in the amount of $23,367 in connection with financing costs; $3,205 of this amount was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to interest expense during the three and six months ended June 30, 2022. During the three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2022, the Company accrued interest in the amount of $1,308 on this loan.</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08" w:right="4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6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Secured mortgage note payable for the acquisition of land and building in Bonita Springs, Florida in the</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$546,000. Principal payments of $4,550 plus interest at the rate of Libor plus 3% are due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The balance of the principal amount was originally due February 28, 2018. On March 23, 2018</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effective February 26, 2018, this note was amended and renewed in the amount of $273,000, with</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payments of principal and interest of $4,550 payable through the maturity date of February 28,</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During the three months ended June 30, 2022, the Company made payments of principal and</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this note in the amounts of $9,100 and $151, respectively; and during the six months ended</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payments of principal and interest on this note in the amounts of</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$22,750 and $655, respectively. On June 9, 2022, the principal and interest due on this note in the amount</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$45,500 and $66, respectively, were paid directly to Fifth Third Bank by MapleMark in connection</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MapleMark Term Loan 2.</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Secured mortgage note payable for the acquisition of land and building in Broadview, Illinois in the</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$980,000. Principal payments of $8,167 plus interest at the rate of LIBOR plus 2.75% are due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through April 2020, the remaining principal balance in the amount of $490,000 was originally</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May 29, 2020. Effective May 29, 2020, the note was amended and renewed such that principal</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$8,303 plus accrued interest were due beginning June 29, 2020 and continuing for sixty</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the entire principal balance and all accrued interest will be due on May 29, 2025. During the three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ended June 30, 2022, the Company made payments of principal and interest on this note in the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of $16,333 and $1,305, respectively; during the six months ended June 30, 2022, the Company</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payments of principal and interest on this note in the amounts of $40,833 and $3,781, respectively.</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June 9, 2022, the principal and interest due on this note in the amount of $310,333 and $901,</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were paid directly to Fifth Third Bank by Maple Mark in connection with MapleMark Term</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2.</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Promissory note dated March 22, 2019 in the original amount of $391,558 (the “Artisan Equipment</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to Fifth Third Bank. This loan is secured by the Company’s tangible and intangible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property and bears interest at the rate of 5.20%. The entire principal balance and all accrued</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is due on the maturity date of March 21, 2024. Monthly payments in the amount of $7,425</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principal and interest commenced in April, 2019. During the year ended December 31, 2019,</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financed under the Artisan Equipment Loan in the amount of $33,075 was returned for credit.</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three months ended June 30, 2022, the Company made payments of principal and interest on</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loan in the amounts of $12,288 and $1,308, respectively; during the six months ended June 30, 2022,</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made payments of principal and interest on this loan in the amounts of $30,523 and $3,467,</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On June 9, 2022, the principal and interest due on this note in the amount of $141,623 and</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$143, respectively, were paid directly to Fifth Third Bank by MapleMark in connection with MapleMark</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1.</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accruing interest on this note at 1.9%. During the three and six months ended June 30, 2022, the</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accrued interest in the amount of $95 and $189, respectively, on this note. At June 30, 2022,</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this note was $17,912.</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Vehicle acquisition loan dated December 6, 2018 in the original amount of $51,088, payable in sixty</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installments of $955 including interest at the rate of 4.61% maturing November 5, 2023. During</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three months ended June 30, 2022, the Company made principal and interest payments in the amount</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$2,634 and $201, respectively, on this loan; during the six months ended June 30, 2022, the Company</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principal and interest payments in the amount of $5,297 and $433, respectively.</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15,687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20,984</w:t>
            </w:r>
          </w:p>
        </w:tc>
        <w:tc>
          <w:tcPr>
            <w:tcW w:w="0" w:type="dxa"/>
            <w:vAlign w:val="bottom"/>
          </w:tcPr>
          <w:p>
            <w:pPr>
              <w:spacing w:after="0"/>
              <w:rPr>
                <w:sz w:val="1"/>
                <w:szCs w:val="1"/>
                <w:color w:val="auto"/>
              </w:rPr>
            </w:pPr>
          </w:p>
        </w:tc>
      </w:tr>
      <w:tr>
        <w:trPr>
          <w:trHeight w:val="432"/>
        </w:trPr>
        <w:tc>
          <w:tcPr>
            <w:tcW w:w="8200" w:type="dxa"/>
            <w:vAlign w:val="bottom"/>
            <w:gridSpan w:val="3"/>
          </w:tcPr>
          <w:p>
            <w:pPr>
              <w:jc w:val="right"/>
              <w:ind w:right="2620"/>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9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3280"/>
        <w:spacing w:after="0" w:line="252" w:lineRule="auto"/>
        <w:rPr>
          <w:sz w:val="20"/>
          <w:szCs w:val="20"/>
          <w:color w:val="auto"/>
        </w:rPr>
      </w:pPr>
      <w:r>
        <w:rPr>
          <w:rFonts w:ascii="Times New Roman" w:cs="Times New Roman" w:eastAsia="Times New Roman" w:hAnsi="Times New Roman"/>
          <w:sz w:val="18"/>
          <w:szCs w:val="18"/>
          <w:color w:val="auto"/>
        </w:rPr>
        <w:t>Secured mortgage facility in the amount of $5,500,000 with Fifth Third Bank for the acquisition of land and building in Mountaintop, Pennsylvania dated November 8, 2019 (the “Fifth Third Mortgage Facility”). The Fifth Third Mortgage Facility is secured by the assets acquired. During the year ended December 31, 2019, the Company drew down $3,600,000 of this facility. During the year ended December 31, 2020, the Company drew down an additional $1,900,000 of this facility. The interest rate is LIBOR plus 2.75% with interest only due through September 30, 2020, thereafter with principal amortized at a 20 years amortization rate and the balance due on the maturity date of September 2, 2025. The Company prepaid loan fees in connection with this loan in the amount of $72,916 which are considered a discount to the loan and are being amortized over the term of the note; during the three and six months ended June 30, 2022, $2,368 and $5,456, respectively, of this discount was amortized to interest expense. During the three months ended June 30, 2022, the Company made principal and interest payments in the amount of $33,800 and $13,351, respectively, on this loan; during the six months ended June 30, 2022, the Company made principal and interest payments in the amount of $67,600 and $51,151, respectively, on this loan. On June 9, 2022, the principal and interest due on this note in the amount of $5,168,000 and $14,967, respectively, were paid directly to Fifth Third Bank by MapleMark in connection with MapleMark Term Loan 1. The Company recorded a loss in the amount of $40,556 on this transaction in connection with the write-off of the unamortized portion of the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-2333625</wp:posOffset>
            </wp:positionV>
            <wp:extent cx="6960870" cy="3566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356616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 also had in place an interest rate swap agreement (the “Fifth Third Interest Rate Swap”)</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Fifth Third bank in connection with the Fifth Third Mortgage Facility. Pursuant to the Fifth Third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Interest Rate Swap, the Company paid an additional base rate of 0.59% reduced by the difference between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initial LIBOR rate of 0.1513% and the month-end LIBOR rate resulting in additional interest expense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$0 and $5,632, respectively, during the three and six months ended June 30, 2022. On March 28, 2022</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Interest Rate Swap was terminated. Upon termination the Company received a cash payment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$294,000, which is reflected as a gain on the interest rate swap on the statement of operations for the six</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months ended June 30, 2022.</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5,622,043</w:t>
            </w:r>
          </w:p>
        </w:tc>
        <w:tc>
          <w:tcPr>
            <w:tcW w:w="1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5,822,133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39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5,712,500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5,717,220</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5,868,145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long-term notes payable as of June 30, 2022 are as follows: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period ended June 30,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restart"/>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5,712,500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5,717,220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ind w:left="540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LEASE LIABILITIES - FINANCING LEASES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forklift dated July 12, 2021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$16,070 payable in thirty-six monthly installments of $489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$1,289 and $179, respectively. During the six months ended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principal and interest payments on this lease obligation in the amounts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$2,558 and $377, respectively.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pallet truck dated July 15, 2021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$5,816 payable in thirty-six monthly installments of $177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$466 and $65, respectively. During the six months ended June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2022, the Company made principal and interest payments on this lease obligation in the amounts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$925 and $136,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14, 2020 in the original amount of $514,173 payable in sixty monthly installments of $9,942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interest at the rate of 6.01%. During the three months ended June 30, 2022, the Company made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$24,304 and $5,521,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six months ended June 30, 2021, the Company made principal and interest payments on this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 in the amount of $48,248 and $11,403,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351,440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$152,548 payable in eighty-four monthly installments of $2,188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5.44%.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$5,049 and $1,515, respectively. During the six months ended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principal and interest payments on this lease obligation in the amounts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$10,029 and $3,099,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November 5, 2018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$128,587 payable in seventy monthly installments of $2,326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8.33%.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$5,748 and $1,229, respectively. During the six months ended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principal and interest payments on this lease obligation in the amounts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$11,378 and $2,575,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$80,413 payable in eighty-four monthly installments of $1,148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$2,786 and $658, respectively. During the six months ended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principal and interest payments on this lease obligation in the amounts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$5,537 and $1,350,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February 4, 2022 in the original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$42,500 payable in twenty-four monthly installments of $1,963 including interest at the rate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During the three months ended June 30, 2022, the Company made principal and interest payments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$4,898 and $992, respectively. During the six months ended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 the Company made principal and interest payments on this lease obligation in the amounts</w:t>
            </w:r>
          </w:p>
        </w:tc>
        <w:tc>
          <w:tcPr>
            <w:tcW w:w="2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$6,502 and $1,351,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616,387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430,672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616,387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08" w:right="4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type w:val="continuous"/>
        </w:sectPr>
      </w:pPr>
    </w:p>
    <w:bookmarkStart w:id="22" w:name="page23"/>
    <w:bookmarkEnd w:id="22"/>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 as of June 30, 2022 are as follows: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period ended June 30,</w:t>
      </w:r>
    </w:p>
    <w:p>
      <w:pPr>
        <w:spacing w:after="0" w:line="243" w:lineRule="exact"/>
        <w:rPr>
          <w:sz w:val="20"/>
          <w:szCs w:val="20"/>
          <w:color w:val="auto"/>
        </w:rPr>
      </w:pPr>
    </w:p>
    <w:tbl>
      <w:tblPr>
        <w:tblLayout w:type="fixed"/>
        <w:tblInd w:w="2742"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185,715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190,508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154,392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67,474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18,298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9"/>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616,387</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2" w:right="7720" w:hanging="2"/>
        <w:spacing w:after="0" w:line="532" w:lineRule="auto"/>
        <w:tabs>
          <w:tab w:leader="none" w:pos="272"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For the six months ended June 30, 2022:</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Vesting of shares to officers</w:t>
      </w:r>
    </w:p>
    <w:p>
      <w:pPr>
        <w:spacing w:after="0" w:line="225"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in connection with stock based compensation based upon the terms of employment agreements with its employees and compensation agreements with the Company’s independent board members, the Company charged to operations the amount of $20,000 for the vesting of a total of 51,624 shares of common stock issuable to two of its independent board members, and $300,800 for the vesting of a total of 906,890 shares of common stock issuable to its Chief Executive Officer pursuant to his employment agreement. The Company also recognized non-cash compensation in the amount of $4,652 during the six months ended June 30, 2022 in connection with stock options issuable to management and board members.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Vesting of shares to officers</w:t>
      </w:r>
    </w:p>
    <w:p>
      <w:pPr>
        <w:spacing w:after="0" w:line="225"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2021 in connection with stock based compensation based upon the terms of employment agreements with its employees and compensation agreements with the Company’s independent board members, the Company charged to operations the amount of $45,000 for the vesting of a total of 100,140 shares of common stock issuable to two of its independent board members, and $198,422 for the vesting of a total of 491,429 shares of common stock issuable to its Chief Executive Officer and its Director of Strategic Acquisitions pursuant to their employment agreement. The Company also recognized non-cash compensation in the amount of $71,958 during the six months ended June 30, 2021 in connection with stock options issuable to management and board members.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17. COMMITMENTS AND CONTINGENT LIABILITIES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Contingent Liability</w:t>
      </w:r>
    </w:p>
    <w:p>
      <w:pPr>
        <w:spacing w:after="0" w:line="225"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Pursuant to the igourmet Asset Purchase Agreement,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three and six months ended June 30, 2022, the Company paid the amount of $0 and $8,000, respectively, in connection with the additional liabilities. At June 30, 2022 and December 31, 2021, the amount of $67,000 remains on the Company’s consolidated balance sheet as a current contingent liability, and $108,600 as a long term contingent liability.</w:t>
      </w:r>
    </w:p>
    <w:p>
      <w:pPr>
        <w:spacing w:after="0" w:line="192"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At June 30, 2022 and December 31, 2021, $120,000 is classified as a current contingent liability.</w:t>
      </w:r>
    </w:p>
    <w:p>
      <w:pPr>
        <w:spacing w:after="0" w:line="1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1"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employed by Innovative 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a total of 2,837,580 shares are deemed issued but not outstanding by the Company. These include 2,623,171 shares of treasury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2022:</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in connection with stock based compensation based upon the terms of employment agreements with its employees and compensation agreements with the Company’s independent board members, the Company charged to operations the amount of $20,000 for the vesting of a total of 51,624 shares of common stock issuable to two of its independent board members, and $300,800 for the vesting of a total of 906,890 shares of common stock issuable to its Chief Executive Officer pursuant to his employment agreement. The Company also recognized non-cash compensation in the amount of $4,652 during the six months ended June 30, 2022 in connection with stock options issuable to management and board members.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25, 2022, the Company issued 142,857 shares with a value of $48,543 to a service provider.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2021:</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2021 in connection with stock based compensation based upon the terms of employment agreements with its employees and compensation agreements with the Company’s independent board members, the Company charged to operations the amount of $45,000 for the vesting of a total of 100,140 shares of common stock issuable to two of its independent board members, and $198,422 for the vesting of a total of 491,429 shares of common stock issuable to its Chief Executive Officer and its Director of Strategic Acquisitions pursuant to their employment agreements. The Company also recognized non-cash compensation in the amount of $71,958 during the six months ended June 30, 2021 in connection with stock options issuable to management and board members.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at June 30, 2022 and the related prices for the options to purchase shares of the Company’s common stock issued by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of</w:t>
            </w: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r>
      <w:tr>
        <w:trPr>
          <w:trHeight w:val="209"/>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30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30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0.50</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0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0.85</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0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1,087,500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30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2,312,500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30, 2022 (unaudited)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gridSpan w:val="2"/>
          </w:tcPr>
          <w:p>
            <w:pPr>
              <w:ind w:left="1100"/>
              <w:spacing w:after="0" w:line="196" w:lineRule="exact"/>
              <w:rPr>
                <w:sz w:val="20"/>
                <w:szCs w:val="20"/>
                <w:color w:val="auto"/>
              </w:rPr>
            </w:pPr>
            <w:r>
              <w:rPr>
                <w:rFonts w:ascii="Times New Roman" w:cs="Times New Roman" w:eastAsia="Times New Roman" w:hAnsi="Times New Roman"/>
                <w:sz w:val="18"/>
                <w:szCs w:val="18"/>
                <w:color w:val="auto"/>
              </w:rPr>
              <w:t>Options exercisable at June 30, 2022 (unaudited)</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2,132,500</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June 30, 2022 and 2021 was $0. Aggregate intrinsic value represents the difference between the Company’s closing stock price on the last trading day of the fiscal period, which was $0.24 and $0.36 as of June 30, 2022 and 2021, respectively, and the exercise price multiplied by the number of options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charged $2,326 and $35,878, respectively, to operations to recognized stock-based compensation expense for employee and board member stock options; the Company also charged $2,092 and $0, respectively, to operations to recognize the fair value of options issued to a service provider.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charged $4,652 and $71,958, respectively, to operations to recognized stock-based compensation expense for employee and board member stock options; the Company also charged $2,092 and $0, respectively, to operations to recognize the fair value of options issued to a service provider.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360" w:right="20" w:hanging="357"/>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Doubtful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$362,214 for doubtful accounts receivable at June 30, 2022, and $375,931 at December 31, 2021.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shares of our common stock.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30, 2014, pursuant to a purchase agreement, the Company purchased 100% of the membership interest of Organic Food Brokers, LLC, a Colorado limited liability company (“OFB”), for $300,000, 100,000 four-year options at a price of $1.46 per share, and up to an additional $225,000 in earn-outs if certain milestones are met.</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an Asset Purchase Agreement dated as of January 1, 2017 the Company’s wholly-owned subsidiary, Oasis Sales Corp.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15, 2014, pursuant to a merger agreement, the Company acquired The Fresh Diet, Inc. (“FD”). Effective February 23, 2016, the Company closed a transaction to sell 90% of our ownership in FD for consideration consisting primarily of a restructuring of our loans, which includes the ability to convert to additional amounts of FD under certain circumstances. There is no continuing cash inflows or outflows from or to the discontinued operations.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24, 2018, pursuant to an asset acquisition agreement (the “igourmet Asset Acquisition Agreement”), our wholly-owned subsidiary, Innovative Gourmet, LLC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LLC (“Food Funding”), funded advances of $325,000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2019 and 2020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Effective July 6, 2018, pursuant to an asset purchase agreement between Mouth Foods, Inc. (“Mouth”) and our wholly-owned subsidiary M Innovations LLC (“M Innovations”) (the “MFI APA”), the Company acquired certain assets of Mouth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a privately held New York company operating out of Brooklyn, was an expert curator and online retailer of high quality specialty foods from small-batch makers in the US. 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 Major Customer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2021 (1) following our discussion of Liquidity and Capital Resources, and (2) in Note 18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U.S. Foods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sold the majority of our products through a distributor relationship between FII and Next Day Gourmet, L.P., a subsidiary of U.S. Foods, a leading broadline distributor. These sales amounted to $10,197,930 (50% of total sales) and $6,939,129 (50% of total sales) for the three months ended June 30, 2022 and 2021, respectively. These sales amounted to $17,857,389 (49% of total sales) and $12,104,507 (46% of total sales) for the six months ended June 30, 2022 and 2021, respectively. On January 26, 2015 we executed a contract between Food Innovations, Inc., our wholly-owned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by $6,548,592 or approximately 47% to $20,523,156 for the three months ended June 30, 2022 from $13,974,564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 and restaurant dining. E-commerce revenue decreased slightly though e-commerce revenue remains significantly above pre-pandemic historical levels. The decrease in e-commerce revenue during the current period was related to decreases in COVID-19 driven demand in 2022 compared to 2021 partially driven by the continued re-opening of bricks and mortar stores, and by a more challenging digital marketing environment as compared to 2021 driven partially by industrywide marketing challenges related to expanded privacy rules that significantly reduce data sharing.</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cost of goods sold for the three months ended June 30, 2022 was $16,074,259, an increase of $5,909,115 or approximately 58% compared to cost of goods sold of $10,165,144 for the three months ended June 30, 2021. The increase in cost of goods sold, which also included inventory adjustment expenses of $316,666, is attributed mainly to increases in revenues. Cost of goods sold was made up of the following expenses for the three months ended June 30, 2022: cost of goods of specialty, meat, game, cheese, seafood, poultry and other sales categories in the amount of $11,439,211; shipping, delivery, handling, and purchase allowance expenses in the amount of $4,500,219; and cost of goods associated with logistics of $134,829. Gross margins as a percentage of sales declined during the current period to 21.7% compared to 27.3% during the comparable period, primarily due to variation in product and revenue mix across our various selling channels, increases in fuel costs and fuel surcharges associated with the higher cost of fuel in the United States and higher shipping costs contributed to the decline in gross margins as a percentage of sales.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2022, we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expenses increased by $858,747 or approximately 18% to $5,522,049 during the three months ended June 30, 2022 compared to $4,663,302 for the three months ended June 30, 2021. The increase in selling, general, and administrative expenses was primarily due to an increase in advertising and digital marketing costs of $438,216, which includes an expense of $86,866 in digital marketing fees associated with a settlement of digital marketing fees to a service provider, an increase in payroll and related expenses of $339,013 partially related to increased payroll associated with the growth of foodservice revenues mostly offset by payroll reductions associated with e-commerce revenues (including an increase in non-cash compensation of $57,177); an increase in professional fees of $83,194 (including $188,986 in expenses associated with the MapleMark loan transaction), an increase in IT and computer costs of $38,372; an increase in insurance costs of $30,194; an increase in travel expenses of $22,805; an increase in amortization and depreciation of $13,577; and an increase in taxes of $2,044. These increases were partially offset by a decrease in banking and credit card fees of $71,681, a decrease in office, facilities, and vehicle costs of $18,017, and a decrease in bad debt expense of $16,095. The increases were driven mainly by increases in costs related to advertising and digital marketing expenses, and expenses associated with the MapleMark loan transaction. In addition an overall increase in cost of goods and labor and other items contributed to the increase in facility and IT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months ended June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three months ended June 30, 2021.</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the Company recognized revenue in the amount of $2,294 in connection with the lease of space in our Mountaintop warehouse facility, an increase of $394 or approximately 21% compared to $1,900 during the three months ended June 30,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Interest expense, net of interest income, increased by $26,830 or approximately 31% to $112,372 during the three months ended June 30, 2022, compared to $85,542 during the three months ended June 30, 2021. Interest accrued or paid on the Company’s commercial loans and notes payable increased by $12,649 to $96,779 during the current period primarily as a result of increases in interest rates. Interest on the PPP loans decreased by $4,346 to $0 during the current period compared to $4,346 during the three months ended June 30, 3021. The Company’s PPP loans have all been forgiven as of June 30, 2022. Interest income was $1,996 for the period ended June 30, 2022, an increase of $284 compared to interest income of $1,712 during the prior period due to higher cash balances. Interest on the Company’s note payable was $94 for the three months ended June 30, 2022 and 2021. Interest expense associated with the amortization of loan fees was $17,494 during the three months ended June 30, 2022, an increase of $14,371 compared to $3,123 during the prior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reasons above, the Company had a net loss for the three months ended June 30, 2022 of $1,223,786 which is an increase of $286,262 or 31% compared to a net loss of $937,524 during the three months ended June 30, 2021. The net loss for the three months ended June 30, 2022 includes a total of $423,359 in non-cash charges, including non-cash compensation in the amount of $214,766, depreciation and amortization expense of $141,374, loss on extinguishment of debt of $40,556, amortization of prepaid loan fees in the amount of $17,494, and provision for doubtful accounts of $9,171.</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net loss for the three months ended June 30, 2021 includes a total of $322,127 in non-cash charges, including depreciation and amortization expense of $136,149, non-cash compensation in the amount of $157,589, amortization of the discount on notes payable of $3,123, and provision for doubtful accounts of $25,266.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Revenue increased by $10,010,804 or approximately 38% to $36,166,267 for the six months ended June 30, 2022 from $26,155,463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and restaurant dining. The increase in specialty foodservice revenue was partially offset with decreases in e-commerce revenues, though e-commerce revenue remains significantly above pre-pandemic historical levels. The decreases in e-commerce revenues during the current period were related to decreases in COVID-19 driven demand in 2022 compared to 2021 and also by lower recognized revenue in the first quarter of 2022, due to a decline in the value of recognized deferred revenue associated with items ordered in the 4th quarter of the prior year but delivered in the first quarter of the following year. E-commerce revenues were also driven lower by the continued re-opening of bricks and mortar stores, and by a more challenging digital marketing environment as compared to 2021 driven partially by industrywide marketing challenges related to expanded privacy rules that significantly reduce data sharing.</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cost of goods sold for the six months ended June 30, 2022 was $27,991,438, an increase of $8,947,380 or approximately 47% compared to cost of goods sold of $19,044,058 for the six months ended June 30, 2021. The increase in cost of goods sold which also included inventory adjustment expenses of $316,666, is attributed mainly to increases in revenues. Cost of goods sold was made up of the following expenses for the six months ended June 30, 2022: cost of goods of specialty, meat, game, cheese, seafood, poultry and other sales categories in the amount of $19,200,913; shipping, delivery, handling, and purchase allowance expenses in the amount of $8,516,817; and cost of goods associated with logistics of $273,708. Gross margins as a percentage of sales declined during the current period to 22.6% compared to 27.2% during the comparable period, primarily due to variation in product and revenue mix across our various selling channels, increases in fuel costs and fuel surcharges associated with the higher cost of fuel in the United States and higher shipping costs contributed to the decline in gross margins as a percentage of sales.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2022, we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expenses increased by $1,180,345 or approximately 12% to $10,694,475 during the six months ended June 30, 2022 compared to $9,514,130 for the six months ended June 30, 2021. The increase in selling, general, and administrative expenses was primarily due to an increase in advertising and digital marketing costs of $686,023 which includes an expense of $86,866 in digital marketing fees associated with a settlement of digital marketing fees to a service provider, an increase in professional fees of $233,873 (including $188,986 in expenses associated with the MapleMark loan transaction); an increase in payroll and related costs of $190,070 driven by increased payroll associated with the growth of foodservice revenues mostly offset by payroll reductions associated with e-commerce revenues, (including an increase of $52,112 in non-cash compensation); an increase in computer and IT costs of $68,653; an increase in travel expenses of $57,631; an increase in insurance costs of $40,635; and an increase in depreciation and amortization of $16,184. These increases were partially offset by a decrease in banking and credit card costs of $163,479; a decrease in bad debt expense of $19,931, and a decrease in taxes of $1,450. The increases were driven mainly by increases in costs related to legal, accounting, and other advisor fees and digital marketing fees and expenses associated with the MapleMark loan transaction. In addition an overall increase in cost of goods and labor and other items contributed to the increase in facility and IT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Investment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the founder of one of the food related companies passed away in an untimely tragic accident, and as a result the food related company ceased operations and the Company recognized an impairment in the amount of $209,850 in connection with that investment. There is no comparable transaction in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Interest Rate Swap</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a gain on the interest rate swap in the amount of $294,000 in connection with the termination of the interest rate swap. There is no comparable transaction in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six months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revenue in the amount of $7,384 in connection with the lease of space in our Mountaintop warehouse facility, an increase of $344 or approximately 5% compared to $7,040 during the six months ended June 30,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Interest expense, net of interest income, increased by $19,485 or approximately 11% to $195,345 during the six months ended June 30, 2022, compared to $175,860 during the six months ended June 30, 2021. Interest accrued or paid on the Company’s commercial loans and notes payable increased by $22,612 to $172,927 during the current period primarily as a result of increases in interest rates. Interest on the PPP loans decreased by $9,917 to $0 during the current period compared to $9,917 during the six months ended June 30, 3021. The Company’s PPP loans have all been forgiven as of June 30, 2022. Interest income was $3,985 for the period ended June 30, 2022, an increase of $564 compared to interest income of $3,421 during the prior period due to higher cash balances. Interest on the Company’s note payable was $189 for the six months ended June 30, 2022 compared to $186 for the prior period. Interest expense associated with the amortization of loan fees was $20,582 during the six months ended June 30, 2022, an increase of $14,371 compared to $6,211 during the prior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reasons above, the Company had a net loss for the six months ended June 30, 2022 of $2,454,163 which is a decrease of $327,232 or 12% compared to a net loss of $2,781,395 during the six months ended June 30, 2021. The net loss for the six months ended June 30, 2022 includes a total of $716,419 in non-cash charges, including non-cash compensation in the amount of $367,490, depreciation and amortization expense of $279,735, loss on extinguishment of debt of $40,556, amortization of prepaid loan fees in the amount of $20,582, and provision for doubtful accounts of $8,056.</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net loss for the six months ended June 30, 2021 includes a total of $831,401 in non-cash charges, including impairment of investment of $209,850, depreciation and amortization expense of $271,973, non-cash compensation in the amount of $315,380, amortization of the discount on notes payable of $6,211, and provision for doubtful accounts of $27,987.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June 30, 2022</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current assets of $10,770,849 consisting of cash and cash equivalents of $2,360,473, trade accounts receivable of $5,027,892, inventory of $3,041,782, and other current assets of $340,702. Also, at June 30, 2022, the Company had current liabilities of $15,620,521, consisting of trade payable and accrued liabilities of $6,285,703, accrued interest of $43,535, deferred revenue of $1,222,247, line of credit of $2,014,333, notes payable – current portion of $5,617,323, lease liabilities – operating leases, current portion of $64,665, lease liabilities – financing leases, current portion of $185,715, and current portion of contingent liabilities of $187,000.</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had cash used in operating activities of $3,257,083. Cash used in operations consisted of the Company’s consolidated net loss of $2,454,163 partially offset by stock based compensation in the amount of $367,492, depreciation and amortization of $279,735, amortization of right-to-use asset of $35,162, loss on extinguishment of debt of $40,556, and amortization of prepaid loan fees of $20,582, and provision for doubtful accounts of $8,056. The Company’s cash position also decreased due to a change in the components of current assets and liabilities in the amount of $1,554,503.</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used in investing activities of $92,633 for the six months ended June 30, 2022, which consisted of cash paid for the acquisition of property and equipment.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used in financing activities of $412,482 for the six months ended June 30, 2022, which consisted of principal payments made on notes payable of $167,001, principal payments on financing leases of $85,176, and cost debt financing of $110,305.</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had net working capital deficit of $4,849,672 as of June 30, 2022. The Company used cash in operations during the six months ended June 30, 2022 in the amount of $3,257,083. This compares to cash used in operations of $4,876,983 during the six months ended June 30, 2021. On June 6, 2022, the Company completed a financing arrangement with MapleMark Bank, whereby MapleMark provided the company with a revolving credit facility and two term loans in the aggregate amount of $7,695,867. Pursuant to the terms of these loan agreements, the Company has applied for loan guarantees from United States Department of Agriculture. Upon receipt of these guarantees, the revolving loan in the amount of $2,014,333 will be due in 18 months and the term loans in the aggregate amount of $5,681,533 will be due in 30 years, substantially improving the Company’s liquidity. The Company has applied for these guarantees, though there can be no assurance that they will be received.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continue to focus on increasing market share and cash flow from operations by focusing its sales activities on specific market segments and new product lines. As of June 30, 2022, we do not have any material long-term obligations other than those described in Notes 6, 7,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Plans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world has been in the grip of a pandemic since March 2020 which has wreaked havoc on economies world-wide, including in the U.S., which is our primary market. As a result of the pandemic, restaurants, hotels, country clubs, casinos, catering houses and other segments of our primary customer base have either closed completely or have only recently begun to open with significantly reduced operations. Accordingly, foodservice revenues, which historically have been a significant portion of our overall revenues had been significantly reduced as most foodservice establishments cross the United States closed or had limited operations. As a result, foodservice revenue commencing in the second half of March 2020 and through the end of 2021 experienced unprecedented declines. In 2022, as the pandemic began to recede and foodservice establishments reopened and travel resumed, we have experienced strong foodservice revenue growth. Concurrently, while ecommerce revenues remained above pre-pandemic historical levels, lower deferred revenues recognized in the six months of 2022 and decreases in COVID-19 driven demand in 2022 compared to 2021 (partially driven by the continued re-opening of bricks and mortar stores), and an increasingly challenging digital marketing environment fueled by industry-wide marketing challenges, including expanded privacy rules that significantly reduce data sharing.</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2022, we plan to expand our business by expanding our focus on additional specialty foods markets and by leveraging our e-commerce platform to launch and grow new D2C brands and e-commerce sites within targeted consumer areas either organically and/or through acquisition of new D2C brands and e-commerce sites within targeted consumer areas. In addition, we will continue exploring potential acquisition and partnership opportunities with influencers and other celebrities to continue to extend our focus in the specialty food market through the growth of the Company’s existing sales channels and through a variety of additional potential sales channel relationships. Additionally, to further optimize the Company’s return on marketing spend. the company has meaningfully reduced its digital marketing spend in traditional digital marketing channels and focus on increasing our strategic loyalty and retention focused customer experience improvements across our branded online retailers. Additional focus includes further improving the customer experience on our existing food subscription offerings, expanding our traditional monthly subscription offerings and launching a “subscribe and save” subscription offering.</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are currently exploring the introduction of, or have introduced into the market, a variety of new product categories and new product lines, including private label products and proprietary branded products to leverage our existing foodservice and consumer customer base.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Furthermore, the Company intends to continue to expand its activities in the direct-to-consumer space and the overall consumer packaged goods (CPG) space by leveraging its overall capabilities in the consumer space, including leveraging its direct to consumer e-commerce platform to reach both additional customers in multiple channels, and to expand availability of its e-commerce capabilities to additional products and markets. In addition, the company plans to expand its business to business (B2B) offerings within the ecommerce industry.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plans on expanding its B2B offerings, including of its managed services which provide a complete customer backend experience solution for small to large brands by leveraging the platform's procurement, logistics and fulfillment capabilities. The Company also manages monthly subscription offerings on behalf of third party B2B clients and the Company plans on expanding this offering in 2022. In addition, the Company is focused on formally launching its B2B managed marketplace offerings, currently in beta testing, in which the Company offers its B2B customers a complete managed solution including warehousing fulfillment and listing management, for third party marketplace for marketplaces such as Amazon, Walmart and other third party marketplaces.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assurances can be given that any of these plans will come to fruition or that if implemented that they will necessarily yield positive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during the six months ended June 30, 2022, inflation has not had a material effect on the Company’s financial condition or results of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2021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June 30, 2022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formerly employed by Innovative Gourmet, and plaintiffs filed a demand and offer to settle for fifty million dollars. We expect that should a settlement occur, the amount to resolve the Action would be substantially lower. The Company, its subsidiaries, and their employees had auto and umbrella insurance policies, among others, that were in effect for the relevant period. The Company and its subsidiaries’ insurers have agreed to defend the Company, its subsidiaries and the driver in the PA Action (and related actions),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53"/>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93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Articles of Incorporation (incorporated by reference to exhibit 3.1 of the Company’s annual report on Form 10-KSB for the year</w:t>
              </w:r>
            </w:hyperlink>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ended December 31, 2004 filed with the Securities and Exchange Commission on September 28, 2005).</w:t>
              </w:r>
            </w:hyperlink>
          </w:p>
        </w:tc>
        <w:tc>
          <w:tcPr>
            <w:tcW w:w="1880" w:type="dxa"/>
            <w:vAlign w:val="bottom"/>
            <w:gridSpan w:val="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93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Bylaws of the Company (incorporated by reference to exhibit 3.2 of the Company’s annual report Form 10-K for the</w:t>
              </w:r>
            </w:hyperlink>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60" w:type="dxa"/>
            <w:vAlign w:val="bottom"/>
            <w:gridSpan w:val="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year ended December 31, 2010 filed with the Securities and Exchange Commission on March 16, 2011).</w:t>
              </w:r>
            </w:hyperlink>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7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c>
          <w:tcPr>
            <w:tcW w:w="18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160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453"/>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01"/>
        </w:trPr>
        <w:tc>
          <w:tcPr>
            <w:tcW w:w="1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1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42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Klepfish</w:t>
            </w:r>
          </w:p>
        </w:tc>
        <w:tc>
          <w:tcPr>
            <w:tcW w:w="4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Chief Executive Officer</w:t>
            </w:r>
          </w:p>
        </w:tc>
        <w:tc>
          <w:tcPr>
            <w:tcW w:w="80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Sam Klepfish</w:t>
            </w:r>
          </w:p>
        </w:tc>
        <w:tc>
          <w:tcPr>
            <w:tcW w:w="7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14"/>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Tang</w:t>
            </w:r>
          </w:p>
        </w:tc>
        <w:tc>
          <w:tcPr>
            <w:tcW w:w="4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Chief Financial Officer</w:t>
            </w:r>
          </w:p>
        </w:tc>
        <w:tc>
          <w:tcPr>
            <w:tcW w:w="80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Richard Tang</w:t>
            </w:r>
          </w:p>
        </w:tc>
        <w:tc>
          <w:tcPr>
            <w:tcW w:w="7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846"/>
        </w:trPr>
        <w:tc>
          <w:tcPr>
            <w:tcW w:w="3860" w:type="dxa"/>
            <w:vAlign w:val="bottom"/>
          </w:tcPr>
          <w:p>
            <w:pPr>
              <w:spacing w:after="0"/>
              <w:rPr>
                <w:sz w:val="24"/>
                <w:szCs w:val="24"/>
                <w:color w:val="auto"/>
              </w:rPr>
            </w:pPr>
          </w:p>
        </w:tc>
        <w:tc>
          <w:tcPr>
            <w:tcW w:w="4100" w:type="dxa"/>
            <w:vAlign w:val="bottom"/>
            <w:gridSpan w:val="2"/>
          </w:tcPr>
          <w:p>
            <w:pPr>
              <w:jc w:val="right"/>
              <w:ind w:right="238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960"/>
          </w:cols>
          <w:pgMar w:left="460" w:top="121"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316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Klepfish, Chief Executive Officer</w:t>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37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0370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Tang, Chief Financial Officer</w:t>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and Subsidiaries (the “Company”) on Form 10-Q for the period ended June 30, 2022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45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8459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Klepfish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2022</w:t>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and Subsidiaries (the “Company”) on Form 10-Q for the period ended June 30, 2022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95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2022</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6"/>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9" Type="http://schemas.openxmlformats.org/officeDocument/2006/relationships/hyperlink" Target="http://www.sec.gov/Archives/edgar/data/312257/000114420405030172/v025859_ex3-1.htm" TargetMode="External"/><Relationship Id="rId50"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2022-08-22T16:06:40Z</dcterms:created>
  <dcterms:modified xsi:type="dcterms:W3CDTF">2022-08-22T16:06:40Z</dcterms:modified>
</cp:coreProperties>
</file>