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ivfh10q063025.htm"/>
      <w:bookmarkStart w:id="1" w:name="ksivfh10q063025"/>
      <w:bookmarkEnd w:id="0"/>
      <w:bookmarkEnd w:id="1"/>
      <w:r>
        <w:rPr>
          <w:caps w:val="false"/>
          <w:smallCaps w:val="false"/>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 C. 20549</w:t>
      </w:r>
      <w:r>
        <w:rPr>
          <w:rFonts w:ascii="Times New Roman;Times;Serif" w:hAnsi="Times New Roman;Times;Serif"/>
          <w:b w:val="false"/>
          <w:i w:val="false"/>
          <w:caps w:val="false"/>
          <w:smallCaps w:val="false"/>
          <w:sz w:val="20"/>
        </w:rPr>
        <w:t> </w:t>
      </w:r>
    </w:p>
    <w:p>
      <w:pPr>
        <w:pStyle w:val="TextBody"/>
        <w:bidi w:val="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10-Q</w:t>
      </w:r>
    </w:p>
    <w:p>
      <w:pPr>
        <w:pStyle w:val="TextBody"/>
        <w:bidi w:val="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AND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2025</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 xml:space="preserve">to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000-09376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5049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6667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INNOVATIVE FOOD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Florida</w:t>
            </w:r>
          </w:p>
        </w:tc>
        <w:tc>
          <w:tcPr>
            <w:tcW w:w="90" w:type="dxa"/>
            <w:tcBorders/>
            <w:tcMar>
              <w:bottom w:w="0" w:type="dxa"/>
            </w:tcMar>
            <w:vAlign w:val="center"/>
          </w:tcPr>
          <w:p>
            <w:pPr>
              <w:pStyle w:val="TableContents"/>
              <w:bidi w:val="0"/>
              <w:spacing w:before="0" w:after="283"/>
              <w:jc w:val="center"/>
              <w:rPr/>
            </w:pPr>
            <w:r>
              <w:rPr/>
              <w:t> </w:t>
            </w:r>
          </w:p>
        </w:tc>
        <w:tc>
          <w:tcPr>
            <w:tcW w:w="15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20-1167761</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jc w:val="left"/>
        <w:rPr>
          <w:caps w:val="false"/>
          <w:smallCaps w:val="false"/>
        </w:rPr>
      </w:pPr>
      <w:r>
        <w:rPr>
          <w:caps w:val="false"/>
          <w:smallCaps w:val="false"/>
        </w:rPr>
        <w:t> </w:t>
      </w:r>
    </w:p>
    <w:tbl>
      <w:tblPr>
        <w:tblW w:w="4330" w:type="dxa"/>
        <w:jc w:val="left"/>
        <w:tblInd w:w="0" w:type="dxa"/>
        <w:tblLayout w:type="fixed"/>
        <w:tblCellMar>
          <w:top w:w="0" w:type="dxa"/>
          <w:left w:w="0" w:type="dxa"/>
          <w:bottom w:w="28" w:type="dxa"/>
          <w:right w:w="0" w:type="dxa"/>
        </w:tblCellMar>
      </w:tblPr>
      <w:tblGrid>
        <w:gridCol w:w="3260"/>
        <w:gridCol w:w="90"/>
        <w:gridCol w:w="980"/>
      </w:tblGrid>
      <w:tr>
        <w:trPr/>
        <w:tc>
          <w:tcPr>
            <w:tcW w:w="32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2528 S. 27</w:t>
            </w:r>
            <w:r>
              <w:rPr>
                <w:rFonts w:ascii="Times New Roman;Times;Serif" w:hAnsi="Times New Roman;Times;Serif"/>
                <w:b/>
                <w:position w:val="7"/>
                <w:sz w:val="16"/>
                <w:sz w:val="20"/>
              </w:rPr>
              <w:t xml:space="preserve">th </w:t>
            </w:r>
            <w:r>
              <w:rPr>
                <w:rFonts w:ascii="Times New Roman;Times;Serif" w:hAnsi="Times New Roman;Times;Serif"/>
                <w:b/>
                <w:sz w:val="20"/>
              </w:rPr>
              <w:t xml:space="preserve">Ave.  Broadview, Illinois </w:t>
            </w:r>
          </w:p>
        </w:tc>
        <w:tc>
          <w:tcPr>
            <w:tcW w:w="90" w:type="dxa"/>
            <w:tcBorders/>
            <w:tcMar>
              <w:bottom w:w="0" w:type="dxa"/>
            </w:tcMar>
            <w:vAlign w:val="center"/>
          </w:tcPr>
          <w:p>
            <w:pPr>
              <w:pStyle w:val="TableContents"/>
              <w:bidi w:val="0"/>
              <w:spacing w:before="0" w:after="283"/>
              <w:jc w:val="center"/>
              <w:rPr/>
            </w:pPr>
            <w:r>
              <w:rPr/>
              <w:t> </w:t>
            </w:r>
          </w:p>
        </w:tc>
        <w:tc>
          <w:tcPr>
            <w:tcW w:w="9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60155</w:t>
            </w:r>
          </w:p>
        </w:tc>
      </w:tr>
      <w:tr>
        <w:trPr/>
        <w:tc>
          <w:tcPr>
            <w:tcW w:w="32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0" w:type="dxa"/>
            <w:tcBorders/>
            <w:tcMar>
              <w:bottom w:w="0" w:type="dxa"/>
            </w:tcMar>
            <w:vAlign w:val="center"/>
          </w:tcPr>
          <w:p>
            <w:pPr>
              <w:pStyle w:val="TableContents"/>
              <w:bidi w:val="0"/>
              <w:spacing w:before="0" w:after="283"/>
              <w:jc w:val="center"/>
              <w:rPr/>
            </w:pPr>
            <w:r>
              <w:rPr/>
              <w:t> </w:t>
            </w:r>
          </w:p>
        </w:tc>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(239) 596-0204</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jc w:val="left"/>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1565"/>
        <w:gridCol w:w="90"/>
        <w:gridCol w:w="1640"/>
        <w:gridCol w:w="90"/>
        <w:gridCol w:w="3770"/>
      </w:tblGrid>
      <w:tr>
        <w:trPr/>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90" w:type="dxa"/>
            <w:tcBorders/>
            <w:tcMar>
              <w:bottom w:w="0" w:type="dxa"/>
            </w:tcMar>
            <w:vAlign w:val="center"/>
          </w:tcPr>
          <w:p>
            <w:pPr>
              <w:pStyle w:val="TableContents"/>
              <w:bidi w:val="0"/>
              <w:spacing w:before="0" w:after="283"/>
              <w:jc w:val="center"/>
              <w:rPr/>
            </w:pPr>
            <w:r>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90" w:type="dxa"/>
            <w:tcBorders/>
            <w:tcMar>
              <w:bottom w:w="0" w:type="dxa"/>
            </w:tcMar>
            <w:vAlign w:val="center"/>
          </w:tcPr>
          <w:p>
            <w:pPr>
              <w:pStyle w:val="TableContents"/>
              <w:bidi w:val="0"/>
              <w:spacing w:before="0" w:after="283"/>
              <w:jc w:val="center"/>
              <w:rPr/>
            </w:pPr>
            <w:r>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495"/>
        <w:gridCol w:w="2525"/>
      </w:tblGrid>
      <w:tr>
        <w:trPr/>
        <w:tc>
          <w:tcPr>
            <w:tcW w:w="249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49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2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49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252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Regulation 12b-2 of the Exchange Act): Yes ☐ No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the number of shares outstanding of each of the issuer’s classes of common stock, as of the latest practicable date: 54,785,684 shares of common stock outstanding as of August 11, 2025.</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INNOVATIVE FOOD HOLDINGS, INC.</w:t>
      </w:r>
    </w:p>
    <w:p>
      <w:pPr>
        <w:pStyle w:val="TextBody"/>
        <w:bidi w:val="0"/>
        <w:jc w:val="center"/>
        <w:rPr>
          <w:rFonts w:ascii="Times New Roman;Times;Serif" w:hAnsi="Times New Roman;Times;Serif"/>
          <w:b/>
          <w:i w:val="false"/>
          <w:caps w:val="false"/>
          <w:smallCaps w:val="false"/>
          <w:sz w:val="20"/>
        </w:rPr>
      </w:pPr>
      <w:bookmarkStart w:id="2" w:name="TableOfContents"/>
      <w:bookmarkEnd w:id="2"/>
      <w:r>
        <w:rPr>
          <w:rFonts w:ascii="Times New Roman;Times;Serif" w:hAnsi="Times New Roman;Times;Serif"/>
          <w:b/>
          <w:i w:val="false"/>
          <w:caps w:val="false"/>
          <w:smallCaps w:val="false"/>
          <w:sz w:val="20"/>
        </w:rPr>
        <w:t>TABLE OF CONTENTS TO FORM 10-Q</w:t>
      </w:r>
    </w:p>
    <w:p>
      <w:pPr>
        <w:pStyle w:val="TextBody"/>
        <w:bidi w:val="0"/>
        <w:jc w:val="left"/>
        <w:rPr>
          <w:caps w:val="false"/>
          <w:smallCaps w:val="false"/>
        </w:rPr>
      </w:pPr>
      <w:r>
        <w:rPr>
          <w:caps w:val="false"/>
          <w:smallCaps w:val="false"/>
        </w:rPr>
        <w:t> </w:t>
      </w:r>
    </w:p>
    <w:tbl>
      <w:tblPr>
        <w:tblW w:w="8445" w:type="dxa"/>
        <w:jc w:val="left"/>
        <w:tblInd w:w="0" w:type="dxa"/>
        <w:tblLayout w:type="fixed"/>
        <w:tblCellMar>
          <w:top w:w="0" w:type="dxa"/>
          <w:left w:w="0" w:type="dxa"/>
          <w:bottom w:w="0" w:type="dxa"/>
          <w:right w:w="0" w:type="dxa"/>
        </w:tblCellMar>
      </w:tblPr>
      <w:tblGrid>
        <w:gridCol w:w="620"/>
        <w:gridCol w:w="7310"/>
        <w:gridCol w:w="515"/>
      </w:tblGrid>
      <w:tr>
        <w:trPr/>
        <w:tc>
          <w:tcPr>
            <w:tcW w:w="620" w:type="dxa"/>
            <w:tcBorders/>
            <w:vAlign w:val="center"/>
          </w:tcPr>
          <w:p>
            <w:pPr>
              <w:pStyle w:val="TableContents"/>
              <w:bidi w:val="0"/>
              <w:spacing w:before="0" w:after="283"/>
              <w:ind w:left="0" w:right="0" w:hanging="0"/>
              <w:jc w:val="left"/>
              <w:rPr/>
            </w:pPr>
            <w:r>
              <w:rPr/>
              <w:t> </w:t>
            </w:r>
          </w:p>
        </w:tc>
        <w:tc>
          <w:tcPr>
            <w:tcW w:w="7310"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930" w:type="dxa"/>
            <w:gridSpan w:val="2"/>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PART I. FINANCIAL INFORMATION</w:t>
            </w:r>
          </w:p>
        </w:tc>
        <w:tc>
          <w:tcPr>
            <w:tcW w:w="515" w:type="dxa"/>
            <w:tcBorders/>
            <w:vAlign w:val="center"/>
          </w:tcPr>
          <w:p>
            <w:pPr>
              <w:pStyle w:val="TableContents"/>
              <w:bidi w:val="0"/>
              <w:spacing w:before="0" w:after="283"/>
              <w:ind w:left="0" w:right="0" w:hanging="0"/>
              <w:jc w:val="right"/>
              <w:rPr/>
            </w:pPr>
            <w:r>
              <w:rPr/>
              <w:t> </w:t>
            </w:r>
          </w:p>
        </w:tc>
      </w:tr>
      <w:tr>
        <w:trPr/>
        <w:tc>
          <w:tcPr>
            <w:tcW w:w="620" w:type="dxa"/>
            <w:tcBorders/>
            <w:vAlign w:val="center"/>
          </w:tcPr>
          <w:p>
            <w:pPr>
              <w:pStyle w:val="TableContents"/>
              <w:bidi w:val="0"/>
              <w:spacing w:before="0" w:after="283"/>
              <w:ind w:left="0" w:right="0" w:hanging="0"/>
              <w:jc w:val="left"/>
              <w:rPr/>
            </w:pPr>
            <w:r>
              <w:rPr/>
              <w:t> </w:t>
            </w:r>
          </w:p>
        </w:tc>
        <w:tc>
          <w:tcPr>
            <w:tcW w:w="7310"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ind w:left="0" w:right="0" w:hanging="0"/>
              <w:jc w:val="right"/>
              <w:rPr/>
            </w:pPr>
            <w:r>
              <w:rPr/>
              <w:t> </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w:t>
            </w:r>
          </w:p>
        </w:tc>
        <w:tc>
          <w:tcPr>
            <w:tcW w:w="7310" w:type="dxa"/>
            <w:tcBorders/>
            <w:vAlign w:val="center"/>
          </w:tcPr>
          <w:p>
            <w:pPr>
              <w:pStyle w:val="TableContents"/>
              <w:bidi w:val="0"/>
              <w:spacing w:before="0" w:after="283"/>
              <w:ind w:left="0" w:right="0" w:hanging="0"/>
              <w:jc w:val="left"/>
              <w:rPr/>
            </w:pPr>
            <w:hyperlink w:anchor="a_002">
              <w:r>
                <w:rPr>
                  <w:rStyle w:val="InternetLink"/>
                  <w:rFonts w:ascii="Times New Roman;Times;Serif" w:hAnsi="Times New Roman;Times;Serif"/>
                  <w:sz w:val="20"/>
                </w:rPr>
                <w:t>Financial Statements</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20" w:type="dxa"/>
            <w:tcBorders/>
            <w:vAlign w:val="center"/>
          </w:tcPr>
          <w:p>
            <w:pPr>
              <w:pStyle w:val="TableContents"/>
              <w:bidi w:val="0"/>
              <w:spacing w:before="0" w:after="283"/>
              <w:ind w:left="0" w:right="0" w:hanging="0"/>
              <w:jc w:val="left"/>
              <w:rPr/>
            </w:pPr>
            <w:r>
              <w:rPr/>
              <w:t> </w:t>
            </w:r>
          </w:p>
        </w:tc>
        <w:tc>
          <w:tcPr>
            <w:tcW w:w="7310" w:type="dxa"/>
            <w:tcBorders/>
            <w:vAlign w:val="center"/>
          </w:tcPr>
          <w:p>
            <w:pPr>
              <w:pStyle w:val="TableContents"/>
              <w:bidi w:val="0"/>
              <w:spacing w:before="0" w:after="283"/>
              <w:ind w:left="0" w:right="0" w:hanging="0"/>
              <w:jc w:val="left"/>
              <w:rPr/>
            </w:pPr>
            <w:hyperlink w:anchor="a_003">
              <w:r>
                <w:rPr>
                  <w:rStyle w:val="InternetLink"/>
                  <w:rFonts w:ascii="Times New Roman;Times;Serif" w:hAnsi="Times New Roman;Times;Serif"/>
                  <w:sz w:val="20"/>
                </w:rPr>
                <w:t>Consolidated Balance Sheets</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20" w:type="dxa"/>
            <w:tcBorders/>
            <w:vAlign w:val="center"/>
          </w:tcPr>
          <w:p>
            <w:pPr>
              <w:pStyle w:val="TableContents"/>
              <w:bidi w:val="0"/>
              <w:spacing w:before="0" w:after="283"/>
              <w:ind w:left="0" w:right="0" w:hanging="0"/>
              <w:jc w:val="left"/>
              <w:rPr/>
            </w:pPr>
            <w:r>
              <w:rPr/>
              <w:t> </w:t>
            </w:r>
          </w:p>
        </w:tc>
        <w:tc>
          <w:tcPr>
            <w:tcW w:w="7310" w:type="dxa"/>
            <w:tcBorders/>
            <w:vAlign w:val="center"/>
          </w:tcPr>
          <w:p>
            <w:pPr>
              <w:pStyle w:val="TableContents"/>
              <w:bidi w:val="0"/>
              <w:spacing w:before="0" w:after="283"/>
              <w:ind w:left="0" w:right="0" w:hanging="0"/>
              <w:jc w:val="left"/>
              <w:rPr/>
            </w:pPr>
            <w:hyperlink w:anchor="a_004">
              <w:r>
                <w:rPr>
                  <w:rStyle w:val="InternetLink"/>
                  <w:rFonts w:ascii="Times New Roman;Times;Serif" w:hAnsi="Times New Roman;Times;Serif"/>
                  <w:sz w:val="20"/>
                </w:rPr>
                <w:t>Consolidated Statements of Operations</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20" w:type="dxa"/>
            <w:tcBorders/>
            <w:vAlign w:val="center"/>
          </w:tcPr>
          <w:p>
            <w:pPr>
              <w:pStyle w:val="TableContents"/>
              <w:bidi w:val="0"/>
              <w:spacing w:before="0" w:after="283"/>
              <w:ind w:left="0" w:right="0" w:hanging="0"/>
              <w:jc w:val="left"/>
              <w:rPr/>
            </w:pPr>
            <w:r>
              <w:rPr/>
              <w:t> </w:t>
            </w:r>
          </w:p>
        </w:tc>
        <w:tc>
          <w:tcPr>
            <w:tcW w:w="7310" w:type="dxa"/>
            <w:tcBorders/>
            <w:vAlign w:val="center"/>
          </w:tcPr>
          <w:p>
            <w:pPr>
              <w:pStyle w:val="TableContents"/>
              <w:bidi w:val="0"/>
              <w:spacing w:before="0" w:after="283"/>
              <w:ind w:left="0" w:right="0" w:hanging="0"/>
              <w:jc w:val="left"/>
              <w:rPr/>
            </w:pPr>
            <w:hyperlink w:anchor="a_005">
              <w:r>
                <w:rPr>
                  <w:rStyle w:val="InternetLink"/>
                  <w:rFonts w:ascii="Times New Roman;Times;Serif" w:hAnsi="Times New Roman;Times;Serif"/>
                  <w:sz w:val="20"/>
                </w:rPr>
                <w:t>Consolidated Statement of Stockholders’ Equity</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20" w:type="dxa"/>
            <w:tcBorders/>
            <w:vAlign w:val="center"/>
          </w:tcPr>
          <w:p>
            <w:pPr>
              <w:pStyle w:val="TableContents"/>
              <w:bidi w:val="0"/>
              <w:spacing w:before="0" w:after="283"/>
              <w:ind w:left="0" w:right="0" w:hanging="0"/>
              <w:jc w:val="left"/>
              <w:rPr/>
            </w:pPr>
            <w:r>
              <w:rPr/>
              <w:t> </w:t>
            </w:r>
          </w:p>
        </w:tc>
        <w:tc>
          <w:tcPr>
            <w:tcW w:w="7310" w:type="dxa"/>
            <w:tcBorders/>
            <w:vAlign w:val="center"/>
          </w:tcPr>
          <w:p>
            <w:pPr>
              <w:pStyle w:val="TableContents"/>
              <w:bidi w:val="0"/>
              <w:spacing w:before="0" w:after="283"/>
              <w:ind w:left="0" w:right="0" w:hanging="0"/>
              <w:jc w:val="left"/>
              <w:rPr/>
            </w:pPr>
            <w:hyperlink w:anchor="a_006">
              <w:r>
                <w:rPr>
                  <w:rStyle w:val="InternetLink"/>
                  <w:rFonts w:ascii="Times New Roman;Times;Serif" w:hAnsi="Times New Roman;Times;Serif"/>
                  <w:sz w:val="20"/>
                </w:rPr>
                <w:t>Consolidated Statements of Cash Flows</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20" w:type="dxa"/>
            <w:tcBorders/>
            <w:vAlign w:val="center"/>
          </w:tcPr>
          <w:p>
            <w:pPr>
              <w:pStyle w:val="TableContents"/>
              <w:bidi w:val="0"/>
              <w:spacing w:before="0" w:after="283"/>
              <w:ind w:left="0" w:right="0" w:hanging="0"/>
              <w:jc w:val="left"/>
              <w:rPr/>
            </w:pPr>
            <w:r>
              <w:rPr/>
              <w:t> </w:t>
            </w:r>
          </w:p>
        </w:tc>
        <w:tc>
          <w:tcPr>
            <w:tcW w:w="7310" w:type="dxa"/>
            <w:tcBorders/>
            <w:vAlign w:val="center"/>
          </w:tcPr>
          <w:p>
            <w:pPr>
              <w:pStyle w:val="TableContents"/>
              <w:bidi w:val="0"/>
              <w:spacing w:before="0" w:after="283"/>
              <w:ind w:left="0" w:right="0" w:hanging="0"/>
              <w:jc w:val="left"/>
              <w:rPr/>
            </w:pPr>
            <w:hyperlink w:anchor="a_007">
              <w:r>
                <w:rPr>
                  <w:rStyle w:val="InternetLink"/>
                  <w:rFonts w:ascii="Times New Roman;Times;Serif" w:hAnsi="Times New Roman;Times;Serif"/>
                  <w:sz w:val="20"/>
                </w:rPr>
                <w:t>Condensed Notes to the Consolidated Financial Statements</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2.</w:t>
            </w:r>
          </w:p>
        </w:tc>
        <w:tc>
          <w:tcPr>
            <w:tcW w:w="7310" w:type="dxa"/>
            <w:tcBorders/>
            <w:vAlign w:val="center"/>
          </w:tcPr>
          <w:p>
            <w:pPr>
              <w:pStyle w:val="TableContents"/>
              <w:bidi w:val="0"/>
              <w:spacing w:before="0" w:after="283"/>
              <w:ind w:left="0" w:right="0" w:hanging="0"/>
              <w:jc w:val="left"/>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3.</w:t>
            </w:r>
          </w:p>
        </w:tc>
        <w:tc>
          <w:tcPr>
            <w:tcW w:w="7310" w:type="dxa"/>
            <w:tcBorders/>
            <w:vAlign w:val="center"/>
          </w:tcPr>
          <w:p>
            <w:pPr>
              <w:pStyle w:val="TableContents"/>
              <w:bidi w:val="0"/>
              <w:spacing w:before="0" w:after="283"/>
              <w:ind w:left="0" w:right="0" w:hanging="0"/>
              <w:jc w:val="left"/>
              <w:rPr/>
            </w:pPr>
            <w:hyperlink w:anchor="a_009">
              <w:r>
                <w:rPr>
                  <w:rStyle w:val="InternetLink"/>
                  <w:rFonts w:ascii="Times New Roman;Times;Serif" w:hAnsi="Times New Roman;Times;Serif"/>
                  <w:sz w:val="20"/>
                </w:rPr>
                <w:t>Quantitative and Qualitative Disclosures About Market Risk</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4.</w:t>
            </w:r>
          </w:p>
        </w:tc>
        <w:tc>
          <w:tcPr>
            <w:tcW w:w="7310" w:type="dxa"/>
            <w:tcBorders/>
            <w:vAlign w:val="center"/>
          </w:tcPr>
          <w:p>
            <w:pPr>
              <w:pStyle w:val="TableContents"/>
              <w:bidi w:val="0"/>
              <w:spacing w:before="0" w:after="283"/>
              <w:ind w:left="0" w:right="0" w:hanging="0"/>
              <w:jc w:val="left"/>
              <w:rPr/>
            </w:pPr>
            <w:hyperlink w:anchor="a_010">
              <w:r>
                <w:rPr>
                  <w:rStyle w:val="InternetLink"/>
                  <w:rFonts w:ascii="Times New Roman;Times;Serif" w:hAnsi="Times New Roman;Times;Serif"/>
                  <w:sz w:val="20"/>
                </w:rPr>
                <w:t>Controls and Procedures</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620" w:type="dxa"/>
            <w:tcBorders/>
            <w:vAlign w:val="center"/>
          </w:tcPr>
          <w:p>
            <w:pPr>
              <w:pStyle w:val="TableContents"/>
              <w:bidi w:val="0"/>
              <w:spacing w:before="0" w:after="283"/>
              <w:ind w:left="0" w:right="0" w:hanging="0"/>
              <w:jc w:val="left"/>
              <w:rPr/>
            </w:pPr>
            <w:r>
              <w:rPr/>
              <w:t> </w:t>
            </w:r>
          </w:p>
        </w:tc>
        <w:tc>
          <w:tcPr>
            <w:tcW w:w="7310"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ind w:left="0" w:right="0" w:hanging="0"/>
              <w:jc w:val="right"/>
              <w:rPr/>
            </w:pPr>
            <w:r>
              <w:rPr/>
              <w:t> </w:t>
            </w:r>
          </w:p>
        </w:tc>
      </w:tr>
      <w:tr>
        <w:trPr/>
        <w:tc>
          <w:tcPr>
            <w:tcW w:w="7930" w:type="dxa"/>
            <w:gridSpan w:val="2"/>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PART II. OTHER INFORMATION</w:t>
            </w:r>
          </w:p>
        </w:tc>
        <w:tc>
          <w:tcPr>
            <w:tcW w:w="515" w:type="dxa"/>
            <w:tcBorders/>
            <w:vAlign w:val="center"/>
          </w:tcPr>
          <w:p>
            <w:pPr>
              <w:pStyle w:val="TableContents"/>
              <w:bidi w:val="0"/>
              <w:spacing w:before="0" w:after="283"/>
              <w:ind w:left="0" w:right="0" w:hanging="0"/>
              <w:jc w:val="right"/>
              <w:rPr/>
            </w:pPr>
            <w:r>
              <w:rPr/>
              <w:t> </w:t>
            </w:r>
          </w:p>
        </w:tc>
      </w:tr>
      <w:tr>
        <w:trPr/>
        <w:tc>
          <w:tcPr>
            <w:tcW w:w="620" w:type="dxa"/>
            <w:tcBorders/>
            <w:vAlign w:val="center"/>
          </w:tcPr>
          <w:p>
            <w:pPr>
              <w:pStyle w:val="TableContents"/>
              <w:bidi w:val="0"/>
              <w:spacing w:before="0" w:after="283"/>
              <w:ind w:left="0" w:right="0" w:hanging="0"/>
              <w:jc w:val="left"/>
              <w:rPr/>
            </w:pPr>
            <w:r>
              <w:rPr/>
              <w:t> </w:t>
            </w:r>
          </w:p>
        </w:tc>
        <w:tc>
          <w:tcPr>
            <w:tcW w:w="7310"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ind w:left="0" w:right="0" w:hanging="0"/>
              <w:jc w:val="right"/>
              <w:rPr/>
            </w:pPr>
            <w:r>
              <w:rPr/>
              <w:t> </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1.</w:t>
            </w:r>
          </w:p>
        </w:tc>
        <w:tc>
          <w:tcPr>
            <w:tcW w:w="7310" w:type="dxa"/>
            <w:tcBorders/>
            <w:vAlign w:val="center"/>
          </w:tcPr>
          <w:p>
            <w:pPr>
              <w:pStyle w:val="TableContents"/>
              <w:bidi w:val="0"/>
              <w:spacing w:before="0" w:after="283"/>
              <w:ind w:left="0" w:right="0" w:hanging="0"/>
              <w:jc w:val="left"/>
              <w:rPr/>
            </w:pPr>
            <w:hyperlink w:anchor="a_012">
              <w:r>
                <w:rPr>
                  <w:rStyle w:val="InternetLink"/>
                  <w:rFonts w:ascii="Times New Roman;Times;Serif" w:hAnsi="Times New Roman;Times;Serif"/>
                  <w:sz w:val="20"/>
                </w:rPr>
                <w:t>Legal Proceedings</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2.</w:t>
            </w:r>
          </w:p>
        </w:tc>
        <w:tc>
          <w:tcPr>
            <w:tcW w:w="7310" w:type="dxa"/>
            <w:tcBorders/>
            <w:vAlign w:val="center"/>
          </w:tcPr>
          <w:p>
            <w:pPr>
              <w:pStyle w:val="TableContents"/>
              <w:bidi w:val="0"/>
              <w:spacing w:before="0" w:after="283"/>
              <w:ind w:left="0" w:right="0" w:hanging="0"/>
              <w:jc w:val="left"/>
              <w:rPr/>
            </w:pPr>
            <w:hyperlink w:anchor="a_013">
              <w:r>
                <w:rPr>
                  <w:rStyle w:val="InternetLink"/>
                  <w:rFonts w:ascii="Times New Roman;Times;Serif" w:hAnsi="Times New Roman;Times;Serif"/>
                  <w:sz w:val="20"/>
                </w:rPr>
                <w:t>Unregistered Sales of Equity Securities and Use of Proceeds</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3.</w:t>
            </w:r>
          </w:p>
        </w:tc>
        <w:tc>
          <w:tcPr>
            <w:tcW w:w="7310" w:type="dxa"/>
            <w:tcBorders/>
            <w:vAlign w:val="center"/>
          </w:tcPr>
          <w:p>
            <w:pPr>
              <w:pStyle w:val="TableContents"/>
              <w:bidi w:val="0"/>
              <w:spacing w:before="0" w:after="283"/>
              <w:ind w:left="0" w:right="0" w:hanging="0"/>
              <w:jc w:val="left"/>
              <w:rPr/>
            </w:pPr>
            <w:hyperlink w:anchor="a_014">
              <w:r>
                <w:rPr>
                  <w:rStyle w:val="InternetLink"/>
                  <w:rFonts w:ascii="Times New Roman;Times;Serif" w:hAnsi="Times New Roman;Times;Serif"/>
                  <w:sz w:val="20"/>
                </w:rPr>
                <w:t>Defaults Upon Senior Securities</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4.</w:t>
            </w:r>
          </w:p>
        </w:tc>
        <w:tc>
          <w:tcPr>
            <w:tcW w:w="7310" w:type="dxa"/>
            <w:tcBorders/>
            <w:vAlign w:val="center"/>
          </w:tcPr>
          <w:p>
            <w:pPr>
              <w:pStyle w:val="TableContents"/>
              <w:bidi w:val="0"/>
              <w:spacing w:before="0" w:after="283"/>
              <w:ind w:left="0" w:right="0" w:hanging="0"/>
              <w:jc w:val="left"/>
              <w:rPr/>
            </w:pPr>
            <w:hyperlink w:anchor="a_015">
              <w:r>
                <w:rPr>
                  <w:rStyle w:val="InternetLink"/>
                  <w:rFonts w:ascii="Times New Roman;Times;Serif" w:hAnsi="Times New Roman;Times;Serif"/>
                  <w:sz w:val="20"/>
                </w:rPr>
                <w:t>Mine Safety Disclosures</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5.</w:t>
            </w:r>
          </w:p>
        </w:tc>
        <w:tc>
          <w:tcPr>
            <w:tcW w:w="7310" w:type="dxa"/>
            <w:tcBorders/>
            <w:vAlign w:val="center"/>
          </w:tcPr>
          <w:p>
            <w:pPr>
              <w:pStyle w:val="TableContents"/>
              <w:bidi w:val="0"/>
              <w:spacing w:before="0" w:after="283"/>
              <w:ind w:left="0" w:right="0" w:hanging="0"/>
              <w:jc w:val="left"/>
              <w:rPr/>
            </w:pPr>
            <w:hyperlink w:anchor="a_016">
              <w:r>
                <w:rPr>
                  <w:rStyle w:val="InternetLink"/>
                  <w:rFonts w:ascii="Times New Roman;Times;Serif" w:hAnsi="Times New Roman;Times;Serif"/>
                  <w:sz w:val="20"/>
                </w:rPr>
                <w:t>Other Information</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6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Item 6.</w:t>
            </w:r>
          </w:p>
        </w:tc>
        <w:tc>
          <w:tcPr>
            <w:tcW w:w="7310" w:type="dxa"/>
            <w:tcBorders/>
            <w:vAlign w:val="center"/>
          </w:tcPr>
          <w:p>
            <w:pPr>
              <w:pStyle w:val="TableContents"/>
              <w:bidi w:val="0"/>
              <w:spacing w:before="0" w:after="283"/>
              <w:ind w:left="0" w:right="0" w:hanging="0"/>
              <w:jc w:val="left"/>
              <w:rPr/>
            </w:pPr>
            <w:hyperlink w:anchor="a_017">
              <w:r>
                <w:rPr>
                  <w:rStyle w:val="InternetLink"/>
                  <w:rFonts w:ascii="Times New Roman;Times;Serif" w:hAnsi="Times New Roman;Times;Serif"/>
                  <w:sz w:val="20"/>
                </w:rPr>
                <w:t>Exhibits</w:t>
              </w:r>
            </w:hyperlink>
          </w:p>
        </w:tc>
        <w:tc>
          <w:tcPr>
            <w:tcW w:w="51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620" w:type="dxa"/>
            <w:tcBorders/>
            <w:vAlign w:val="center"/>
          </w:tcPr>
          <w:p>
            <w:pPr>
              <w:pStyle w:val="TableContents"/>
              <w:bidi w:val="0"/>
              <w:spacing w:before="0" w:after="283"/>
              <w:ind w:left="0" w:right="0" w:hanging="0"/>
              <w:jc w:val="left"/>
              <w:rPr/>
            </w:pPr>
            <w:r>
              <w:rPr/>
              <w:t> </w:t>
            </w:r>
          </w:p>
        </w:tc>
        <w:tc>
          <w:tcPr>
            <w:tcW w:w="7310" w:type="dxa"/>
            <w:tcBorders/>
            <w:vAlign w:val="center"/>
          </w:tcPr>
          <w:p>
            <w:pPr>
              <w:pStyle w:val="TableContents"/>
              <w:bidi w:val="0"/>
              <w:spacing w:before="0" w:after="283"/>
              <w:ind w:left="0" w:right="0" w:hanging="0"/>
              <w:jc w:val="left"/>
              <w:rPr/>
            </w:pPr>
            <w:hyperlink w:anchor="a_018">
              <w:r>
                <w:rPr>
                  <w:rStyle w:val="InternetLink"/>
                  <w:rFonts w:ascii="Times New Roman;Times;Serif" w:hAnsi="Times New Roman;Times;Serif"/>
                  <w:sz w:val="20"/>
                </w:rPr>
                <w:t>Signatures</w:t>
              </w:r>
            </w:hyperlink>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PART I. FINANCIAL INFORMATION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bookmarkStart w:id="4" w:name="a_002"/>
      <w:bookmarkEnd w:id="4"/>
      <w:r>
        <w:rPr>
          <w:rFonts w:ascii="Times New Roman;Times;Serif" w:hAnsi="Times New Roman;Times;Serif"/>
          <w:b/>
          <w:i w:val="false"/>
          <w:caps w:val="false"/>
          <w:smallCaps w:val="false"/>
          <w:sz w:val="20"/>
        </w:rPr>
        <w:t>Item</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 Financial Statements</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Innovative Food Holdings, Inc.</w:t>
      </w:r>
    </w:p>
    <w:p>
      <w:pPr>
        <w:pStyle w:val="TextBody"/>
        <w:bidi w:val="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Consolidated Balance Sheets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61"/>
        <w:gridCol w:w="90"/>
        <w:gridCol w:w="170"/>
        <w:gridCol w:w="1205"/>
        <w:gridCol w:w="125"/>
        <w:gridCol w:w="90"/>
        <w:gridCol w:w="172"/>
        <w:gridCol w:w="1221"/>
        <w:gridCol w:w="171"/>
      </w:tblGrid>
      <w:tr>
        <w:trPr/>
        <w:tc>
          <w:tcPr>
            <w:tcW w:w="69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center"/>
              <w:rPr>
                <w:b/>
              </w:rPr>
            </w:pPr>
            <w:r>
              <w:rPr>
                <w:b/>
              </w:rPr>
              <w:t>December 31,</w:t>
            </w:r>
          </w:p>
        </w:tc>
        <w:tc>
          <w:tcPr>
            <w:tcW w:w="171" w:type="dxa"/>
            <w:tcBorders/>
            <w:vAlign w:val="center"/>
          </w:tcPr>
          <w:p>
            <w:pPr>
              <w:pStyle w:val="TableContents"/>
              <w:bidi w:val="0"/>
              <w:spacing w:before="0" w:after="283"/>
              <w:jc w:val="left"/>
              <w:rPr/>
            </w:pPr>
            <w:r>
              <w:rPr/>
              <w:t> </w:t>
            </w:r>
          </w:p>
        </w:tc>
      </w:tr>
      <w:tr>
        <w:trPr/>
        <w:tc>
          <w:tcPr>
            <w:tcW w:w="69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1" w:type="dxa"/>
            <w:tcBorders/>
            <w:vAlign w:val="center"/>
          </w:tcPr>
          <w:p>
            <w:pPr>
              <w:pStyle w:val="TableContents"/>
              <w:bidi w:val="0"/>
              <w:spacing w:before="0" w:after="283"/>
              <w:jc w:val="left"/>
              <w:rPr/>
            </w:pPr>
            <w:r>
              <w:rPr/>
              <w:t> </w:t>
            </w:r>
          </w:p>
        </w:tc>
      </w:tr>
      <w:tr>
        <w:trPr/>
        <w:tc>
          <w:tcPr>
            <w:tcW w:w="69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6961"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r>
      <w:tr>
        <w:trPr/>
        <w:tc>
          <w:tcPr>
            <w:tcW w:w="6961"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1,553,555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2,330,880</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Accounts receivable,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6,916,597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9,039,232</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Inventory,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5,901,009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6,290,488</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Other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338,237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238,526</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Assets held for sale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5,941,933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5,941,933</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Current assets - discontinued operations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8" w:space="0" w:color="000000"/>
            </w:tcBorders>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tcMar>
              <w:bottom w:w="28" w:type="dxa"/>
            </w:tcMar>
            <w:vAlign w:val="center"/>
          </w:tcPr>
          <w:p>
            <w:pPr>
              <w:pStyle w:val="TableContents"/>
              <w:bidi w:val="0"/>
              <w:spacing w:before="0" w:after="283"/>
              <w:jc w:val="right"/>
              <w:rPr/>
            </w:pPr>
            <w:r>
              <w:rPr/>
              <w:t>49,315</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20,651,331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23,890,374</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1,678,212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1,584,878</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Right of use assets - operating leases,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581,504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705,476</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Right of use assets - finance leases,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464,507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524,273</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Amortizable intangible assets,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381,216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424,372</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Tradenames and other unamortizable intangible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217,000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pPr>
            <w:r>
              <w:rPr/>
              <w:t>217,000</w:t>
            </w:r>
          </w:p>
        </w:tc>
        <w:tc>
          <w:tcPr>
            <w:tcW w:w="171" w:type="dxa"/>
            <w:tcBorders/>
            <w:shd w:fill="CCEEFF" w:val="clear"/>
            <w:vAlign w:val="center"/>
          </w:tcPr>
          <w:p>
            <w:pPr>
              <w:pStyle w:val="TableContents"/>
              <w:bidi w:val="0"/>
              <w:spacing w:before="0" w:after="283"/>
              <w:jc w:val="left"/>
              <w:rPr/>
            </w:pPr>
            <w:r>
              <w:rPr/>
              <w:t> </w:t>
            </w:r>
          </w:p>
        </w:tc>
      </w:tr>
      <w:tr>
        <w:trPr/>
        <w:tc>
          <w:tcPr>
            <w:tcW w:w="6961"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tcMar>
              <w:bottom w:w="28" w:type="dxa"/>
            </w:tcMar>
            <w:vAlign w:val="center"/>
          </w:tcPr>
          <w:p>
            <w:pPr>
              <w:pStyle w:val="TableContents"/>
              <w:bidi w:val="0"/>
              <w:spacing w:before="0" w:after="283"/>
              <w:jc w:val="right"/>
              <w:rPr/>
            </w:pPr>
            <w:r>
              <w:rPr/>
              <w:t>23,973,770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double" w:sz="6" w:space="0" w:color="000000"/>
            </w:tcBorders>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tcMar>
              <w:bottom w:w="28" w:type="dxa"/>
            </w:tcMar>
            <w:vAlign w:val="center"/>
          </w:tcPr>
          <w:p>
            <w:pPr>
              <w:pStyle w:val="TableContents"/>
              <w:bidi w:val="0"/>
              <w:spacing w:before="0" w:after="283"/>
              <w:jc w:val="right"/>
              <w:rPr/>
            </w:pPr>
            <w:r>
              <w:rPr/>
              <w:t>27,346,373</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LIABILITIES AND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Accounts payable and accrued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4,187,591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1221" w:type="dxa"/>
            <w:tcBorders/>
            <w:vAlign w:val="center"/>
          </w:tcPr>
          <w:p>
            <w:pPr>
              <w:pStyle w:val="TableContents"/>
              <w:bidi w:val="0"/>
              <w:spacing w:before="0" w:after="283"/>
              <w:jc w:val="right"/>
              <w:rPr/>
            </w:pPr>
            <w:r>
              <w:rPr/>
              <w:t>6,653,622</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Accrued separation costs - related parties, current portion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225,559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334,532</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Accrued interest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83,207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91,347</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Deferred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345,800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349,600</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Stock appreciation rights liability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1,125,887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1,353,150</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Notes payable, current portion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197,347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190,052</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Lease liability - operating leases,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242,975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239,660</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Lease liability - finance leases, 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84,786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147,797</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Contingent liability, current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54,430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8" w:space="0" w:color="000000"/>
            </w:tcBorders>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tcMar>
              <w:bottom w:w="28" w:type="dxa"/>
            </w:tcMar>
            <w:vAlign w:val="center"/>
          </w:tcPr>
          <w:p>
            <w:pPr>
              <w:pStyle w:val="TableContents"/>
              <w:bidi w:val="0"/>
              <w:spacing w:before="0" w:after="283"/>
              <w:jc w:val="right"/>
              <w:rPr/>
            </w:pPr>
            <w:r>
              <w:rPr/>
              <w:t>54,430</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6,547,582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9,414,190</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Note payable, net of discount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8,599,293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8,692,674</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Accrued separation costs - related parties, non-current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400,000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457,692</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Lease liability - operating leases,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344,843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467,569</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Lease liability - finance leases, non-current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76,919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8" w:space="0" w:color="000000"/>
            </w:tcBorders>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tcMar>
              <w:bottom w:w="28" w:type="dxa"/>
            </w:tcMar>
            <w:vAlign w:val="center"/>
          </w:tcPr>
          <w:p>
            <w:pPr>
              <w:pStyle w:val="TableContents"/>
              <w:bidi w:val="0"/>
              <w:spacing w:before="0" w:after="283"/>
              <w:jc w:val="right"/>
              <w:rPr/>
            </w:pPr>
            <w:r>
              <w:rPr/>
              <w:t>139,591</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15,968,637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19,171,716</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Commitments &amp; Contingencies (see note 18)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180"/>
              <w:jc w:val="left"/>
              <w:rPr/>
            </w:pPr>
            <w:r>
              <w:rPr/>
              <w:t> </w:t>
            </w:r>
          </w:p>
        </w:tc>
      </w:tr>
      <w:tr>
        <w:trPr/>
        <w:tc>
          <w:tcPr>
            <w:tcW w:w="6961" w:type="dxa"/>
            <w:tcBorders/>
            <w:shd w:fill="CCEEFF" w:val="clear"/>
            <w:vAlign w:val="center"/>
          </w:tcPr>
          <w:p>
            <w:pPr>
              <w:pStyle w:val="TableContents"/>
              <w:bidi w:val="0"/>
              <w:spacing w:before="0" w:after="283"/>
              <w:jc w:val="left"/>
              <w:rPr/>
            </w:pPr>
            <w:r>
              <w:rPr/>
              <w:t>Common stock: $0.0001 par value; 500,000,000 shares authorized; 57,196,294 and 56,009,032 shares issued, and 54,351,997 and 53,164,735 shares outstanding at June 30, 2025 and December 31, 2024,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5,598</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6961" w:type="dxa"/>
            <w:tcBorders/>
            <w:vAlign w:val="center"/>
          </w:tcPr>
          <w:p>
            <w:pPr>
              <w:pStyle w:val="TableContents"/>
              <w:bidi w:val="0"/>
              <w:spacing w:before="0" w:after="283"/>
              <w:jc w:val="left"/>
              <w:rPr/>
            </w:pPr>
            <w:r>
              <w:rPr/>
              <w:t>Common stock to be issued; 433,687 and 738,032 shares at June 30, 2025 and December 31, 2024,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74</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45,722,436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45,520,121</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Treasury stock: 2,644,297 shares outstanding at June 30, 2025 and December 31, 2024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(1,141,372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(1,141,372</w:t>
            </w:r>
          </w:p>
        </w:tc>
        <w:tc>
          <w:tcPr>
            <w:tcW w:w="171" w:type="dxa"/>
            <w:tcBorders/>
            <w:vAlign w:val="center"/>
          </w:tcPr>
          <w:p>
            <w:pPr>
              <w:pStyle w:val="TableContents"/>
              <w:bidi w:val="0"/>
              <w:spacing w:before="0" w:after="283"/>
              <w:ind w:left="0" w:right="0" w:hanging="0"/>
              <w:jc w:val="left"/>
              <w:rPr/>
            </w:pPr>
            <w:r>
              <w:rPr/>
              <w:t>)</w:t>
            </w:r>
          </w:p>
        </w:tc>
      </w:tr>
      <w:tr>
        <w:trPr/>
        <w:tc>
          <w:tcPr>
            <w:tcW w:w="6961"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(36,581,690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CCEEFF" w:val="clear"/>
            <w:tcMar>
              <w:bottom w:w="28" w:type="dxa"/>
            </w:tcMar>
            <w:vAlign w:val="center"/>
          </w:tcPr>
          <w:p>
            <w:pPr>
              <w:pStyle w:val="TableContents"/>
              <w:bidi w:val="0"/>
              <w:spacing w:before="0" w:after="283"/>
              <w:jc w:val="right"/>
              <w:rPr/>
            </w:pPr>
            <w:r>
              <w:rPr/>
              <w:t>(36,209,764</w:t>
            </w:r>
          </w:p>
        </w:tc>
        <w:tc>
          <w:tcPr>
            <w:tcW w:w="171" w:type="dxa"/>
            <w:tcBorders/>
            <w:shd w:fill="CCEEFF" w:val="clear"/>
            <w:vAlign w:val="center"/>
          </w:tcPr>
          <w:p>
            <w:pPr>
              <w:pStyle w:val="TableContents"/>
              <w:bidi w:val="0"/>
              <w:spacing w:before="0" w:after="283"/>
              <w:ind w:left="0" w:right="0" w:hanging="0"/>
              <w:jc w:val="left"/>
              <w:rPr/>
            </w:pPr>
            <w:r>
              <w:rPr/>
              <w:t>)</w:t>
            </w:r>
          </w:p>
        </w:tc>
      </w:tr>
      <w:tr>
        <w:trPr/>
        <w:tc>
          <w:tcPr>
            <w:tcW w:w="6961"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8,005,133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8" w:space="0" w:color="000000"/>
            </w:tcBorders>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tcMar>
              <w:bottom w:w="28" w:type="dxa"/>
            </w:tcMar>
            <w:vAlign w:val="center"/>
          </w:tcPr>
          <w:p>
            <w:pPr>
              <w:pStyle w:val="TableContents"/>
              <w:bidi w:val="0"/>
              <w:spacing w:before="0" w:after="283"/>
              <w:jc w:val="right"/>
              <w:rPr/>
            </w:pPr>
            <w:r>
              <w:rPr/>
              <w:t>8,174,657</w:t>
            </w:r>
          </w:p>
        </w:tc>
        <w:tc>
          <w:tcPr>
            <w:tcW w:w="171" w:type="dxa"/>
            <w:tcBorders/>
            <w:vAlign w:val="center"/>
          </w:tcPr>
          <w:p>
            <w:pPr>
              <w:pStyle w:val="TableContents"/>
              <w:bidi w:val="0"/>
              <w:spacing w:before="0" w:after="283"/>
              <w:ind w:left="0" w:right="0" w:hanging="0"/>
              <w:jc w:val="left"/>
              <w:rPr/>
            </w:pPr>
            <w:r>
              <w:rPr/>
              <w:t> </w:t>
            </w:r>
          </w:p>
        </w:tc>
      </w:tr>
      <w:tr>
        <w:trPr/>
        <w:tc>
          <w:tcPr>
            <w:tcW w:w="696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6961" w:type="dxa"/>
            <w:tcBorders/>
            <w:vAlign w:val="center"/>
          </w:tcPr>
          <w:p>
            <w:pPr>
              <w:pStyle w:val="TableContents"/>
              <w:bidi w:val="0"/>
              <w:spacing w:before="0" w:after="283"/>
              <w:jc w:val="left"/>
              <w:rPr/>
            </w:pPr>
            <w:r>
              <w:rPr/>
              <w:t>Total liabilities and stockholders’ equity</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tcMar>
              <w:bottom w:w="28" w:type="dxa"/>
            </w:tcMar>
            <w:vAlign w:val="center"/>
          </w:tcPr>
          <w:p>
            <w:pPr>
              <w:pStyle w:val="TableContents"/>
              <w:bidi w:val="0"/>
              <w:spacing w:before="0" w:after="283"/>
              <w:jc w:val="right"/>
              <w:rPr/>
            </w:pPr>
            <w:r>
              <w:rPr/>
              <w:t>23,973,770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double" w:sz="6" w:space="0" w:color="000000"/>
            </w:tcBorders>
            <w:tcMar>
              <w:bottom w:w="28" w:type="dxa"/>
            </w:tcMar>
            <w:vAlign w:val="center"/>
          </w:tcPr>
          <w:p>
            <w:pPr>
              <w:pStyle w:val="TableContents"/>
              <w:bidi w:val="0"/>
              <w:spacing w:before="0" w:after="283"/>
              <w:jc w:val="left"/>
              <w:rPr/>
            </w:pPr>
            <w:r>
              <w:rPr/>
              <w:t>$</w:t>
            </w:r>
          </w:p>
        </w:tc>
        <w:tc>
          <w:tcPr>
            <w:tcW w:w="1221" w:type="dxa"/>
            <w:tcBorders>
              <w:bottom w:val="double" w:sz="6" w:space="0" w:color="000000"/>
            </w:tcBorders>
            <w:tcMar>
              <w:bottom w:w="28" w:type="dxa"/>
            </w:tcMar>
            <w:vAlign w:val="center"/>
          </w:tcPr>
          <w:p>
            <w:pPr>
              <w:pStyle w:val="TableContents"/>
              <w:bidi w:val="0"/>
              <w:spacing w:before="0" w:after="283"/>
              <w:jc w:val="right"/>
              <w:rPr/>
            </w:pPr>
            <w:r>
              <w:rPr/>
              <w:t>27,346,373</w:t>
            </w:r>
          </w:p>
        </w:tc>
        <w:tc>
          <w:tcPr>
            <w:tcW w:w="171"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condensed notes to these unaudited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Innovative Food Holdings, Inc.</w:t>
      </w:r>
    </w:p>
    <w:p>
      <w:pPr>
        <w:pStyle w:val="TextBody"/>
        <w:bidi w:val="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Consolidated Statements of Operations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2"/>
        <w:gridCol w:w="90"/>
        <w:gridCol w:w="185"/>
        <w:gridCol w:w="1238"/>
        <w:gridCol w:w="125"/>
        <w:gridCol w:w="90"/>
        <w:gridCol w:w="185"/>
        <w:gridCol w:w="1238"/>
        <w:gridCol w:w="125"/>
        <w:gridCol w:w="90"/>
        <w:gridCol w:w="186"/>
        <w:gridCol w:w="1238"/>
        <w:gridCol w:w="125"/>
        <w:gridCol w:w="90"/>
        <w:gridCol w:w="186"/>
        <w:gridCol w:w="1238"/>
        <w:gridCol w:w="174"/>
      </w:tblGrid>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For the Three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For the Three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center"/>
              <w:rPr>
                <w:b/>
              </w:rPr>
            </w:pPr>
            <w:r>
              <w:rPr>
                <w:b/>
              </w:rPr>
              <w:t>For the Six</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center"/>
              <w:rPr>
                <w:b/>
              </w:rPr>
            </w:pPr>
            <w:r>
              <w:rPr>
                <w:b/>
              </w:rPr>
              <w:t>For the Six</w:t>
            </w:r>
          </w:p>
        </w:tc>
        <w:tc>
          <w:tcPr>
            <w:tcW w:w="174" w:type="dxa"/>
            <w:tcBorders/>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center"/>
              <w:rPr>
                <w:b/>
              </w:rPr>
            </w:pPr>
            <w:r>
              <w:rPr>
                <w:b/>
              </w:rPr>
              <w:t>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center"/>
              <w:rPr>
                <w:b/>
              </w:rPr>
            </w:pPr>
            <w:r>
              <w:rPr>
                <w:b/>
              </w:rPr>
              <w:t>Months Ended</w:t>
            </w:r>
          </w:p>
        </w:tc>
        <w:tc>
          <w:tcPr>
            <w:tcW w:w="174" w:type="dxa"/>
            <w:tcBorders/>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center"/>
              <w:rPr>
                <w:b/>
              </w:rPr>
            </w:pPr>
            <w:r>
              <w:rPr>
                <w:b/>
              </w:rPr>
              <w:t>June 30,</w:t>
            </w:r>
          </w:p>
        </w:tc>
        <w:tc>
          <w:tcPr>
            <w:tcW w:w="174" w:type="dxa"/>
            <w:tcBorders/>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4" w:type="dxa"/>
            <w:tcBorders/>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21,103,134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16,624,289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40,651,700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32,142,441</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Cost of goods sold</w:t>
            </w:r>
          </w:p>
        </w:tc>
        <w:tc>
          <w:tcPr>
            <w:tcW w:w="90" w:type="dxa"/>
            <w:tcBorders/>
            <w:vAlign w:val="center"/>
          </w:tcPr>
          <w:p>
            <w:pPr>
              <w:pStyle w:val="TableContents"/>
              <w:bidi w:val="0"/>
              <w:spacing w:before="0" w:after="283"/>
              <w:jc w:val="left"/>
              <w:rPr/>
            </w:pPr>
            <w:r>
              <w:rPr/>
              <w:t> </w:t>
            </w:r>
          </w:p>
        </w:tc>
        <w:tc>
          <w:tcPr>
            <w:tcW w:w="185" w:type="dxa"/>
            <w:tcBorders>
              <w:bottom w:val="single" w:sz="8" w:space="0" w:color="000000"/>
            </w:tcBorders>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tcMar>
              <w:bottom w:w="28" w:type="dxa"/>
            </w:tcMar>
            <w:vAlign w:val="center"/>
          </w:tcPr>
          <w:p>
            <w:pPr>
              <w:pStyle w:val="TableContents"/>
              <w:bidi w:val="0"/>
              <w:spacing w:before="0" w:after="283"/>
              <w:jc w:val="right"/>
              <w:rPr/>
            </w:pPr>
            <w:r>
              <w:rPr/>
              <w:t>16,669,281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bottom w:val="single" w:sz="8" w:space="0" w:color="000000"/>
            </w:tcBorders>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tcMar>
              <w:bottom w:w="28" w:type="dxa"/>
            </w:tcMar>
            <w:vAlign w:val="center"/>
          </w:tcPr>
          <w:p>
            <w:pPr>
              <w:pStyle w:val="TableContents"/>
              <w:bidi w:val="0"/>
              <w:spacing w:before="0" w:after="283"/>
              <w:jc w:val="right"/>
              <w:rPr/>
            </w:pPr>
            <w:r>
              <w:rPr/>
              <w:t>12,642,401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8" w:space="0" w:color="000000"/>
            </w:tcBorders>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tcMar>
              <w:bottom w:w="28" w:type="dxa"/>
            </w:tcMar>
            <w:vAlign w:val="center"/>
          </w:tcPr>
          <w:p>
            <w:pPr>
              <w:pStyle w:val="TableContents"/>
              <w:bidi w:val="0"/>
              <w:spacing w:before="0" w:after="283"/>
              <w:jc w:val="right"/>
              <w:rPr/>
            </w:pPr>
            <w:r>
              <w:rPr/>
              <w:t>31,732,040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8" w:space="0" w:color="000000"/>
            </w:tcBorders>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tcMar>
              <w:bottom w:w="28" w:type="dxa"/>
            </w:tcMar>
            <w:vAlign w:val="center"/>
          </w:tcPr>
          <w:p>
            <w:pPr>
              <w:pStyle w:val="TableContents"/>
              <w:bidi w:val="0"/>
              <w:spacing w:before="0" w:after="283"/>
              <w:jc w:val="right"/>
              <w:rPr/>
            </w:pPr>
            <w:r>
              <w:rPr/>
              <w:t>24,355,620</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4,433,853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3,981,888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8,919,660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7,786,821</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Selling, general and administrative expenses</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4,189,316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3,834,301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8,898,293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7,813,140</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4,189,316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3,834,301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8,898,293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7,813,140</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Operating income (loss)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244,537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147,587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21,367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(26,319</w:t>
            </w:r>
          </w:p>
        </w:tc>
        <w:tc>
          <w:tcPr>
            <w:tcW w:w="174" w:type="dxa"/>
            <w:tcBorders/>
            <w:vAlign w:val="center"/>
          </w:tcPr>
          <w:p>
            <w:pPr>
              <w:pStyle w:val="TableContents"/>
              <w:bidi w:val="0"/>
              <w:spacing w:before="0" w:after="283"/>
              <w:jc w:val="left"/>
              <w:rPr/>
            </w:pPr>
            <w:r>
              <w:rPr/>
              <w:t>)</w:t>
            </w:r>
          </w:p>
        </w:tc>
      </w:tr>
      <w:tr>
        <w:trPr/>
        <w:tc>
          <w:tcPr>
            <w:tcW w:w="36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Other income (expense):</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Interest expense, net</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(187,927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(209,487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(397,093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(424,937</w:t>
            </w:r>
          </w:p>
        </w:tc>
        <w:tc>
          <w:tcPr>
            <w:tcW w:w="174" w:type="dxa"/>
            <w:tcBorders/>
            <w:shd w:fill="CCEEFF" w:val="clear"/>
            <w:vAlign w:val="center"/>
          </w:tcPr>
          <w:p>
            <w:pPr>
              <w:pStyle w:val="TableContents"/>
              <w:bidi w:val="0"/>
              <w:spacing w:before="0" w:after="283"/>
              <w:jc w:val="left"/>
              <w:rPr/>
            </w:pPr>
            <w:r>
              <w:rPr/>
              <w:t>)</w:t>
            </w:r>
          </w:p>
        </w:tc>
      </w:tr>
      <w:tr>
        <w:trPr/>
        <w:tc>
          <w:tcPr>
            <w:tcW w:w="3602" w:type="dxa"/>
            <w:tcBorders/>
            <w:vAlign w:val="center"/>
          </w:tcPr>
          <w:p>
            <w:pPr>
              <w:pStyle w:val="TableContents"/>
              <w:bidi w:val="0"/>
              <w:spacing w:before="0" w:after="283"/>
              <w:jc w:val="left"/>
              <w:rPr/>
            </w:pPr>
            <w:r>
              <w:rPr/>
              <w:t>Gain on sale of assets</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1,807,516</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Gain on sale of subsidiary</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21,126</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Other leasing income</w:t>
            </w:r>
          </w:p>
        </w:tc>
        <w:tc>
          <w:tcPr>
            <w:tcW w:w="90" w:type="dxa"/>
            <w:tcBorders/>
            <w:vAlign w:val="center"/>
          </w:tcPr>
          <w:p>
            <w:pPr>
              <w:pStyle w:val="TableContents"/>
              <w:bidi w:val="0"/>
              <w:spacing w:before="0" w:after="283"/>
              <w:jc w:val="left"/>
              <w:rPr/>
            </w:pPr>
            <w:r>
              <w:rPr/>
              <w:t> </w:t>
            </w:r>
          </w:p>
        </w:tc>
        <w:tc>
          <w:tcPr>
            <w:tcW w:w="185" w:type="dxa"/>
            <w:tcBorders>
              <w:bottom w:val="single" w:sz="8" w:space="0" w:color="000000"/>
            </w:tcBorders>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tcMar>
              <w:bottom w:w="28" w:type="dxa"/>
            </w:tcMar>
            <w:vAlign w:val="center"/>
          </w:tcPr>
          <w:p>
            <w:pPr>
              <w:pStyle w:val="TableContents"/>
              <w:bidi w:val="0"/>
              <w:spacing w:before="0" w:after="283"/>
              <w:jc w:val="right"/>
              <w:rPr/>
            </w:pPr>
            <w:r>
              <w:rPr/>
              <w:t>1,900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bottom w:val="single" w:sz="8" w:space="0" w:color="000000"/>
            </w:tcBorders>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tcMar>
              <w:bottom w:w="28" w:type="dxa"/>
            </w:tcMar>
            <w:vAlign w:val="center"/>
          </w:tcPr>
          <w:p>
            <w:pPr>
              <w:pStyle w:val="TableContents"/>
              <w:bidi w:val="0"/>
              <w:spacing w:before="0" w:after="283"/>
              <w:jc w:val="right"/>
              <w:rPr/>
            </w:pPr>
            <w:r>
              <w:rPr/>
              <w:t>1,900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8" w:space="0" w:color="000000"/>
            </w:tcBorders>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tcMar>
              <w:bottom w:w="28" w:type="dxa"/>
            </w:tcMar>
            <w:vAlign w:val="center"/>
          </w:tcPr>
          <w:p>
            <w:pPr>
              <w:pStyle w:val="TableContents"/>
              <w:bidi w:val="0"/>
              <w:spacing w:before="0" w:after="283"/>
              <w:jc w:val="right"/>
              <w:rPr/>
            </w:pPr>
            <w:r>
              <w:rPr/>
              <w:t>3,800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8" w:space="0" w:color="000000"/>
            </w:tcBorders>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tcMar>
              <w:bottom w:w="28" w:type="dxa"/>
            </w:tcMar>
            <w:vAlign w:val="center"/>
          </w:tcPr>
          <w:p>
            <w:pPr>
              <w:pStyle w:val="TableContents"/>
              <w:bidi w:val="0"/>
              <w:spacing w:before="0" w:after="283"/>
              <w:jc w:val="right"/>
              <w:rPr/>
            </w:pPr>
            <w:r>
              <w:rPr/>
              <w:t>3,800</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Total other income (expense)</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(186,027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(207,587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(393,293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1,407,505</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Net income (loss) before taxes</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58,510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(60,000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(371,926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1,381,186</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Net income (loss) from continuing operations</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58,510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(60,000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(371,926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1,381,186</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Net (loss) from discontinued operations</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(43,324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single" w:sz="8" w:space="0" w:color="000000"/>
            </w:tcBorders>
            <w:shd w:fill="CCEEFF" w:val="clear"/>
            <w:tcMar>
              <w:bottom w:w="28" w:type="dxa"/>
            </w:tcMar>
            <w:vAlign w:val="center"/>
          </w:tcPr>
          <w:p>
            <w:pPr>
              <w:pStyle w:val="TableContents"/>
              <w:bidi w:val="0"/>
              <w:spacing w:before="0" w:after="283"/>
              <w:jc w:val="right"/>
              <w:rPr/>
            </w:pPr>
            <w:r>
              <w:rPr/>
              <w:t>(58,636</w:t>
            </w:r>
          </w:p>
        </w:tc>
        <w:tc>
          <w:tcPr>
            <w:tcW w:w="174" w:type="dxa"/>
            <w:tcBorders/>
            <w:shd w:fill="CCEEFF" w:val="clear"/>
            <w:vAlign w:val="center"/>
          </w:tcPr>
          <w:p>
            <w:pPr>
              <w:pStyle w:val="TableContents"/>
              <w:bidi w:val="0"/>
              <w:spacing w:before="0" w:after="283"/>
              <w:jc w:val="left"/>
              <w:rPr/>
            </w:pPr>
            <w:r>
              <w:rPr/>
              <w:t>)</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Consolidated net income (loss)</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58,510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(103,324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(371,926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1,322,550</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ind w:left="0" w:right="0" w:hanging="180"/>
              <w:jc w:val="left"/>
              <w:rPr/>
            </w:pPr>
            <w:r>
              <w:rPr/>
              <w:t> </w:t>
            </w:r>
          </w:p>
        </w:tc>
      </w:tr>
      <w:tr>
        <w:trPr/>
        <w:tc>
          <w:tcPr>
            <w:tcW w:w="3602" w:type="dxa"/>
            <w:tcBorders/>
            <w:shd w:fill="CCEEFF" w:val="clear"/>
            <w:vAlign w:val="center"/>
          </w:tcPr>
          <w:p>
            <w:pPr>
              <w:pStyle w:val="TableContents"/>
              <w:bidi w:val="0"/>
              <w:spacing w:before="0" w:after="283"/>
              <w:jc w:val="left"/>
              <w:rPr/>
            </w:pPr>
            <w:r>
              <w:rPr/>
              <w:t>Net income (loss) per share from continuing operations - basic</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0.001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(0.001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(0.007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0.028</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ind w:left="0" w:right="0" w:hanging="180"/>
              <w:jc w:val="left"/>
              <w:rPr/>
            </w:pPr>
            <w:r>
              <w:rPr/>
              <w:t> </w:t>
            </w:r>
          </w:p>
        </w:tc>
      </w:tr>
      <w:tr>
        <w:trPr/>
        <w:tc>
          <w:tcPr>
            <w:tcW w:w="3602" w:type="dxa"/>
            <w:tcBorders/>
            <w:shd w:fill="CCEEFF" w:val="clear"/>
            <w:vAlign w:val="center"/>
          </w:tcPr>
          <w:p>
            <w:pPr>
              <w:pStyle w:val="TableContents"/>
              <w:bidi w:val="0"/>
              <w:spacing w:before="0" w:after="283"/>
              <w:jc w:val="left"/>
              <w:rPr/>
            </w:pPr>
            <w:r>
              <w:rPr/>
              <w:t>Net income (loss) per share from continuing operations - diluted</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0.001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(0.001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(0.007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0.027</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Net (loss) per share from discontinued operations - basic</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(0.001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(0.001</w:t>
            </w:r>
          </w:p>
        </w:tc>
        <w:tc>
          <w:tcPr>
            <w:tcW w:w="174" w:type="dxa"/>
            <w:tcBorders/>
            <w:shd w:fill="CCEEFF" w:val="clear"/>
            <w:vAlign w:val="center"/>
          </w:tcPr>
          <w:p>
            <w:pPr>
              <w:pStyle w:val="TableContents"/>
              <w:bidi w:val="0"/>
              <w:spacing w:before="0" w:after="283"/>
              <w:jc w:val="left"/>
              <w:rPr/>
            </w:pPr>
            <w:r>
              <w:rPr/>
              <w:t>)</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Net (loss) per share from discontinued operations - diluted</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(0.001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(0.001</w:t>
            </w:r>
          </w:p>
        </w:tc>
        <w:tc>
          <w:tcPr>
            <w:tcW w:w="174" w:type="dxa"/>
            <w:tcBorders/>
            <w:shd w:fill="CCEEFF" w:val="clear"/>
            <w:vAlign w:val="center"/>
          </w:tcPr>
          <w:p>
            <w:pPr>
              <w:pStyle w:val="TableContents"/>
              <w:bidi w:val="0"/>
              <w:spacing w:before="0" w:after="283"/>
              <w:jc w:val="left"/>
              <w:rPr/>
            </w:pPr>
            <w:r>
              <w:rPr/>
              <w:t>)</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Weighted average shares outstanding - basic</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54,785,684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49,702,026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54,376,253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49,708,112</w:t>
            </w:r>
          </w:p>
        </w:tc>
        <w:tc>
          <w:tcPr>
            <w:tcW w:w="174" w:type="dxa"/>
            <w:tcBorders/>
            <w:shd w:fill="CCEEFF" w:val="clear"/>
            <w:vAlign w:val="center"/>
          </w:tcPr>
          <w:p>
            <w:pPr>
              <w:pStyle w:val="TableContents"/>
              <w:bidi w:val="0"/>
              <w:spacing w:before="0" w:after="283"/>
              <w:jc w:val="left"/>
              <w:rPr/>
            </w:pPr>
            <w:r>
              <w:rPr/>
              <w:t> </w:t>
            </w:r>
          </w:p>
        </w:tc>
      </w:tr>
      <w:tr>
        <w:trPr/>
        <w:tc>
          <w:tcPr>
            <w:tcW w:w="36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602" w:type="dxa"/>
            <w:tcBorders/>
            <w:shd w:fill="CCEEFF" w:val="clear"/>
            <w:vAlign w:val="center"/>
          </w:tcPr>
          <w:p>
            <w:pPr>
              <w:pStyle w:val="TableContents"/>
              <w:bidi w:val="0"/>
              <w:spacing w:before="0" w:after="283"/>
              <w:jc w:val="left"/>
              <w:rPr/>
            </w:pPr>
            <w:r>
              <w:rPr/>
              <w:t>Weighted average shares outstanding - diluted</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54,785,684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51,117,570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54,376,253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pPr>
            <w:r>
              <w:rPr/>
              <w:t>51,123,656</w:t>
            </w:r>
          </w:p>
        </w:tc>
        <w:tc>
          <w:tcPr>
            <w:tcW w:w="174"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condensed notes to these unaudited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Innovative Food Holdings, Inc.</w:t>
      </w:r>
    </w:p>
    <w:p>
      <w:pPr>
        <w:pStyle w:val="TextBody"/>
        <w:bidi w:val="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Consolidated Statements of Stockholders’ Equity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and Six Months Ended June 30, 2025 and 2024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left"/>
        <w:rPr>
          <w:caps w:val="false"/>
          <w:smallCaps w:val="false"/>
        </w:rPr>
      </w:pPr>
      <w:r>
        <w:rPr>
          <w:caps w:val="false"/>
          <w:smallCaps w:val="false"/>
        </w:rPr>
        <w:t> </w:t>
      </w:r>
    </w:p>
    <w:tbl>
      <w:tblPr>
        <w:tblW w:w="10445" w:type="dxa"/>
        <w:jc w:val="left"/>
        <w:tblInd w:w="0" w:type="dxa"/>
        <w:tblLayout w:type="fixed"/>
        <w:tblCellMar>
          <w:top w:w="0" w:type="dxa"/>
          <w:left w:w="0" w:type="dxa"/>
          <w:bottom w:w="0" w:type="dxa"/>
          <w:right w:w="0" w:type="dxa"/>
        </w:tblCellMar>
      </w:tblPr>
      <w:tblGrid>
        <w:gridCol w:w="1040"/>
        <w:gridCol w:w="90"/>
        <w:gridCol w:w="90"/>
        <w:gridCol w:w="860"/>
        <w:gridCol w:w="90"/>
        <w:gridCol w:w="90"/>
        <w:gridCol w:w="140"/>
        <w:gridCol w:w="455"/>
        <w:gridCol w:w="90"/>
        <w:gridCol w:w="90"/>
        <w:gridCol w:w="90"/>
        <w:gridCol w:w="695"/>
        <w:gridCol w:w="110"/>
        <w:gridCol w:w="90"/>
        <w:gridCol w:w="162"/>
        <w:gridCol w:w="338"/>
        <w:gridCol w:w="110"/>
        <w:gridCol w:w="90"/>
        <w:gridCol w:w="140"/>
        <w:gridCol w:w="860"/>
        <w:gridCol w:w="110"/>
        <w:gridCol w:w="90"/>
        <w:gridCol w:w="90"/>
        <w:gridCol w:w="770"/>
        <w:gridCol w:w="90"/>
        <w:gridCol w:w="90"/>
        <w:gridCol w:w="140"/>
        <w:gridCol w:w="830"/>
        <w:gridCol w:w="110"/>
        <w:gridCol w:w="90"/>
        <w:gridCol w:w="141"/>
        <w:gridCol w:w="929"/>
        <w:gridCol w:w="110"/>
        <w:gridCol w:w="90"/>
        <w:gridCol w:w="140"/>
        <w:gridCol w:w="770"/>
        <w:gridCol w:w="135"/>
      </w:tblGrid>
      <w:tr>
        <w:trPr/>
        <w:tc>
          <w:tcPr>
            <w:tcW w:w="104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725" w:type="dxa"/>
            <w:gridSpan w:val="6"/>
            <w:tcBorders>
              <w:bottom w:val="single" w:sz="8" w:space="0" w:color="000000"/>
            </w:tcBorders>
            <w:tcMar>
              <w:bottom w:w="28" w:type="dxa"/>
            </w:tcMar>
            <w:vAlign w:val="center"/>
          </w:tcPr>
          <w:p>
            <w:pPr>
              <w:pStyle w:val="TableContents"/>
              <w:bidi w:val="0"/>
              <w:spacing w:before="0" w:after="283"/>
              <w:jc w:val="center"/>
              <w:rPr>
                <w:b/>
                <w:sz w:val="18"/>
              </w:rPr>
            </w:pPr>
            <w:r>
              <w:rPr>
                <w:b/>
                <w:sz w:val="18"/>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5" w:type="dxa"/>
            <w:gridSpan w:val="6"/>
            <w:tcBorders>
              <w:bottom w:val="single" w:sz="8" w:space="0" w:color="000000"/>
            </w:tcBorders>
            <w:tcMar>
              <w:bottom w:w="28" w:type="dxa"/>
            </w:tcMar>
            <w:vAlign w:val="center"/>
          </w:tcPr>
          <w:p>
            <w:pPr>
              <w:pStyle w:val="TableContents"/>
              <w:bidi w:val="0"/>
              <w:spacing w:before="0" w:after="283"/>
              <w:jc w:val="center"/>
              <w:rPr>
                <w:b/>
                <w:sz w:val="18"/>
              </w:rPr>
            </w:pPr>
            <w:r>
              <w:rPr>
                <w:b/>
                <w:sz w:val="18"/>
              </w:rPr>
              <w:t>Common Stock to</w:t>
              <w:br/>
              <w:t>be issued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sz w:val="18"/>
              </w:rPr>
            </w:pPr>
            <w:r>
              <w:rPr>
                <w:b/>
                <w:sz w:val="18"/>
              </w:rPr>
              <w:t>Additional</w:t>
              <w:br/>
              <w:t>Paid-in</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gridSpan w:val="6"/>
            <w:tcBorders>
              <w:bottom w:val="single" w:sz="8" w:space="0" w:color="000000"/>
            </w:tcBorders>
            <w:tcMar>
              <w:bottom w:w="28" w:type="dxa"/>
            </w:tcMar>
            <w:vAlign w:val="center"/>
          </w:tcPr>
          <w:p>
            <w:pPr>
              <w:pStyle w:val="TableContents"/>
              <w:bidi w:val="0"/>
              <w:spacing w:before="0" w:after="283"/>
              <w:jc w:val="center"/>
              <w:rPr>
                <w:b/>
                <w:sz w:val="18"/>
              </w:rPr>
            </w:pPr>
            <w:r>
              <w:rPr>
                <w:b/>
                <w:sz w:val="18"/>
              </w:rPr>
              <w:t>Treasury Stock</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sz w:val="18"/>
              </w:rPr>
            </w:pPr>
            <w:r>
              <w:rPr>
                <w:b/>
                <w:sz w:val="18"/>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Amount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Value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Capital</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Value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b/>
                <w:sz w:val="18"/>
              </w:rPr>
            </w:pPr>
            <w:r>
              <w:rPr>
                <w:b/>
                <w:sz w:val="18"/>
              </w:rPr>
              <w:t>Total</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b/>
                <w:sz w:val="18"/>
              </w:rPr>
            </w:pPr>
            <w:r>
              <w:rPr>
                <w:b/>
                <w:sz w:val="18"/>
              </w:rPr>
              <w:t>Balance - March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52,538,100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455" w:type="dxa"/>
            <w:tcBorders/>
            <w:shd w:fill="CCEEFF" w:val="clear"/>
            <w:vAlign w:val="center"/>
          </w:tcPr>
          <w:p>
            <w:pPr>
              <w:pStyle w:val="TableContents"/>
              <w:bidi w:val="0"/>
              <w:spacing w:before="0" w:after="283"/>
              <w:jc w:val="right"/>
              <w:rPr>
                <w:sz w:val="18"/>
              </w:rPr>
            </w:pPr>
            <w:r>
              <w:rPr>
                <w:sz w:val="18"/>
              </w:rPr>
              <w:t>5,251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18"/>
              </w:rPr>
            </w:pPr>
            <w:r>
              <w:rPr>
                <w:sz w:val="18"/>
              </w:rPr>
              <w:t>$</w:t>
            </w:r>
          </w:p>
        </w:tc>
        <w:tc>
          <w:tcPr>
            <w:tcW w:w="338"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860" w:type="dxa"/>
            <w:tcBorders/>
            <w:shd w:fill="CCEEFF" w:val="clear"/>
            <w:vAlign w:val="center"/>
          </w:tcPr>
          <w:p>
            <w:pPr>
              <w:pStyle w:val="TableContents"/>
              <w:bidi w:val="0"/>
              <w:spacing w:before="0" w:after="283"/>
              <w:jc w:val="right"/>
              <w:rPr>
                <w:sz w:val="18"/>
              </w:rPr>
            </w:pPr>
            <w:r>
              <w:rPr>
                <w:sz w:val="18"/>
              </w:rPr>
              <w:t>42,844,922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2,644,297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830" w:type="dxa"/>
            <w:tcBorders/>
            <w:shd w:fill="CCEEFF" w:val="clear"/>
            <w:vAlign w:val="center"/>
          </w:tcPr>
          <w:p>
            <w:pPr>
              <w:pStyle w:val="TableContents"/>
              <w:bidi w:val="0"/>
              <w:spacing w:before="0" w:after="283"/>
              <w:jc w:val="right"/>
              <w:rPr>
                <w:sz w:val="18"/>
              </w:rPr>
            </w:pPr>
            <w:r>
              <w:rPr>
                <w:sz w:val="18"/>
              </w:rPr>
              <w:t>(1,141,372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18"/>
              </w:rPr>
            </w:pPr>
            <w:r>
              <w:rPr>
                <w:sz w:val="18"/>
              </w:rPr>
              <w:t>$</w:t>
            </w:r>
          </w:p>
        </w:tc>
        <w:tc>
          <w:tcPr>
            <w:tcW w:w="929" w:type="dxa"/>
            <w:tcBorders/>
            <w:shd w:fill="CCEEFF" w:val="clear"/>
            <w:vAlign w:val="center"/>
          </w:tcPr>
          <w:p>
            <w:pPr>
              <w:pStyle w:val="TableContents"/>
              <w:bidi w:val="0"/>
              <w:spacing w:before="0" w:after="283"/>
              <w:jc w:val="right"/>
              <w:rPr>
                <w:sz w:val="18"/>
              </w:rPr>
            </w:pPr>
            <w:r>
              <w:rPr>
                <w:sz w:val="18"/>
              </w:rPr>
              <w:t>(37,395,404</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770" w:type="dxa"/>
            <w:tcBorders/>
            <w:shd w:fill="CCEEFF" w:val="clear"/>
            <w:vAlign w:val="center"/>
          </w:tcPr>
          <w:p>
            <w:pPr>
              <w:pStyle w:val="TableContents"/>
              <w:bidi w:val="0"/>
              <w:spacing w:before="0" w:after="283"/>
              <w:jc w:val="right"/>
              <w:rPr>
                <w:sz w:val="18"/>
              </w:rPr>
            </w:pPr>
            <w:r>
              <w:rPr>
                <w:sz w:val="18"/>
              </w:rPr>
              <w:t>4,313,397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8"/>
              </w:rPr>
            </w:pPr>
            <w:r>
              <w:rPr>
                <w:sz w:val="18"/>
              </w:rPr>
              <w:t>Fair value of shares under compensation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8"/>
              </w:rPr>
            </w:pPr>
            <w:r>
              <w:rPr>
                <w:sz w:val="18"/>
              </w:rPr>
              <w:t>105,269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105,269</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Shares issued for cashless exercise of options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24,138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8"/>
              </w:rPr>
            </w:pPr>
            <w:r>
              <w:rPr>
                <w:sz w:val="18"/>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8"/>
              </w:rPr>
            </w:pPr>
            <w:r>
              <w:rPr>
                <w:sz w:val="18"/>
              </w:rPr>
              <w:t>Net loss for the three months ended June 30, 2024</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8"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bottom w:val="single" w:sz="8" w:space="0" w:color="000000"/>
            </w:tcBorders>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tcMar>
              <w:bottom w:w="28" w:type="dxa"/>
            </w:tcMar>
            <w:vAlign w:val="center"/>
          </w:tcPr>
          <w:p>
            <w:pPr>
              <w:pStyle w:val="TableContents"/>
              <w:bidi w:val="0"/>
              <w:spacing w:before="0" w:after="283"/>
              <w:jc w:val="right"/>
              <w:rPr>
                <w:sz w:val="18"/>
              </w:rPr>
            </w:pPr>
            <w:r>
              <w:rPr>
                <w:sz w:val="18"/>
              </w:rPr>
              <w:t>(103,324</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sz w:val="18"/>
              </w:rPr>
            </w:pPr>
            <w:r>
              <w:rPr>
                <w:sz w:val="18"/>
              </w:rPr>
              <w:t>(103,324</w:t>
            </w:r>
          </w:p>
        </w:tc>
        <w:tc>
          <w:tcPr>
            <w:tcW w:w="135" w:type="dxa"/>
            <w:tcBorders/>
            <w:vAlign w:val="center"/>
          </w:tcPr>
          <w:p>
            <w:pPr>
              <w:pStyle w:val="TableContents"/>
              <w:bidi w:val="0"/>
              <w:spacing w:before="0" w:after="283"/>
              <w:ind w:left="0" w:right="0" w:hanging="180"/>
              <w:jc w:val="left"/>
              <w:rPr>
                <w:sz w:val="18"/>
              </w:rPr>
            </w:pPr>
            <w:r>
              <w:rPr>
                <w:sz w:val="18"/>
              </w:rPr>
              <w:t>)</w:t>
            </w:r>
          </w:p>
        </w:tc>
      </w:tr>
      <w:tr>
        <w:trPr/>
        <w:tc>
          <w:tcPr>
            <w:tcW w:w="1040" w:type="dxa"/>
            <w:tcBorders/>
            <w:shd w:fill="CCEEFF" w:val="clear"/>
            <w:vAlign w:val="center"/>
          </w:tcPr>
          <w:p>
            <w:pPr>
              <w:pStyle w:val="TableContents"/>
              <w:bidi w:val="0"/>
              <w:spacing w:before="0" w:after="283"/>
              <w:jc w:val="left"/>
              <w:rPr>
                <w:b/>
                <w:sz w:val="18"/>
              </w:rPr>
            </w:pPr>
            <w:r>
              <w:rPr>
                <w:b/>
                <w:sz w:val="18"/>
              </w:rPr>
              <w:t>Balance - June 30,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52,562,238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5,253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42,950,189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2,644,297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(1,141,372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929"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(37,498,728</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4,315,342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b/>
                <w:sz w:val="18"/>
              </w:rPr>
            </w:pPr>
            <w:r>
              <w:rPr>
                <w:b/>
                <w:sz w:val="18"/>
              </w:rPr>
              <w:t>Balance -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56,831,090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455" w:type="dxa"/>
            <w:tcBorders/>
            <w:shd w:fill="CCEEFF" w:val="clear"/>
            <w:vAlign w:val="center"/>
          </w:tcPr>
          <w:p>
            <w:pPr>
              <w:pStyle w:val="TableContents"/>
              <w:bidi w:val="0"/>
              <w:spacing w:before="0" w:after="283"/>
              <w:jc w:val="right"/>
              <w:rPr>
                <w:sz w:val="18"/>
              </w:rPr>
            </w:pPr>
            <w:r>
              <w:rPr>
                <w:sz w:val="18"/>
              </w:rPr>
              <w:t>5,680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8"/>
              </w:rPr>
            </w:pPr>
            <w:r>
              <w:rPr>
                <w:sz w:val="18"/>
              </w:rPr>
              <w:t>798,891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18"/>
              </w:rPr>
            </w:pPr>
            <w:r>
              <w:rPr>
                <w:sz w:val="18"/>
              </w:rPr>
              <w:t>$</w:t>
            </w:r>
          </w:p>
        </w:tc>
        <w:tc>
          <w:tcPr>
            <w:tcW w:w="338" w:type="dxa"/>
            <w:tcBorders/>
            <w:shd w:fill="CCEEFF" w:val="clear"/>
            <w:vAlign w:val="center"/>
          </w:tcPr>
          <w:p>
            <w:pPr>
              <w:pStyle w:val="TableContents"/>
              <w:bidi w:val="0"/>
              <w:spacing w:before="0" w:after="283"/>
              <w:jc w:val="right"/>
              <w:rPr>
                <w:sz w:val="18"/>
              </w:rPr>
            </w:pPr>
            <w:r>
              <w:rPr>
                <w:sz w:val="18"/>
              </w:rPr>
              <w:t>79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860" w:type="dxa"/>
            <w:tcBorders/>
            <w:shd w:fill="CCEEFF" w:val="clear"/>
            <w:vAlign w:val="center"/>
          </w:tcPr>
          <w:p>
            <w:pPr>
              <w:pStyle w:val="TableContents"/>
              <w:bidi w:val="0"/>
              <w:spacing w:before="0" w:after="283"/>
              <w:jc w:val="right"/>
              <w:rPr>
                <w:sz w:val="18"/>
              </w:rPr>
            </w:pPr>
            <w:r>
              <w:rPr>
                <w:sz w:val="18"/>
              </w:rPr>
              <w:t>45,621,235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2,644,297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830" w:type="dxa"/>
            <w:tcBorders/>
            <w:shd w:fill="CCEEFF" w:val="clear"/>
            <w:vAlign w:val="center"/>
          </w:tcPr>
          <w:p>
            <w:pPr>
              <w:pStyle w:val="TableContents"/>
              <w:bidi w:val="0"/>
              <w:spacing w:before="0" w:after="283"/>
              <w:jc w:val="right"/>
              <w:rPr>
                <w:sz w:val="18"/>
              </w:rPr>
            </w:pPr>
            <w:r>
              <w:rPr>
                <w:sz w:val="18"/>
              </w:rPr>
              <w:t>(1,141,372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18"/>
              </w:rPr>
            </w:pPr>
            <w:r>
              <w:rPr>
                <w:sz w:val="18"/>
              </w:rPr>
              <w:t>$</w:t>
            </w:r>
          </w:p>
        </w:tc>
        <w:tc>
          <w:tcPr>
            <w:tcW w:w="929" w:type="dxa"/>
            <w:tcBorders/>
            <w:shd w:fill="CCEEFF" w:val="clear"/>
            <w:vAlign w:val="center"/>
          </w:tcPr>
          <w:p>
            <w:pPr>
              <w:pStyle w:val="TableContents"/>
              <w:bidi w:val="0"/>
              <w:spacing w:before="0" w:after="283"/>
              <w:jc w:val="right"/>
              <w:rPr>
                <w:sz w:val="18"/>
              </w:rPr>
            </w:pPr>
            <w:r>
              <w:rPr>
                <w:sz w:val="18"/>
              </w:rPr>
              <w:t>(36,640,200</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770" w:type="dxa"/>
            <w:tcBorders/>
            <w:shd w:fill="CCEEFF" w:val="clear"/>
            <w:vAlign w:val="center"/>
          </w:tcPr>
          <w:p>
            <w:pPr>
              <w:pStyle w:val="TableContents"/>
              <w:bidi w:val="0"/>
              <w:spacing w:before="0" w:after="283"/>
              <w:jc w:val="right"/>
              <w:rPr>
                <w:sz w:val="18"/>
              </w:rPr>
            </w:pPr>
            <w:r>
              <w:rPr>
                <w:sz w:val="18"/>
              </w:rPr>
              <w:t>7,845,422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Fair value of shares under compensation plan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101,201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101,201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8"/>
              </w:rPr>
            </w:pPr>
            <w:r>
              <w:rPr>
                <w:sz w:val="18"/>
              </w:rPr>
              <w:t>Shares issued under compensation plans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8"/>
              </w:rPr>
            </w:pPr>
            <w:r>
              <w:rPr>
                <w:sz w:val="18"/>
              </w:rPr>
              <w:t>365,204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sz w:val="18"/>
              </w:rPr>
            </w:pPr>
            <w:r>
              <w:rPr>
                <w:sz w:val="18"/>
              </w:rPr>
              <w:t>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18"/>
              </w:rPr>
            </w:pPr>
            <w:r>
              <w:rPr>
                <w:sz w:val="18"/>
              </w:rPr>
              <w:t>(365,204</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right"/>
              <w:rPr>
                <w:sz w:val="18"/>
              </w:rPr>
            </w:pPr>
            <w:r>
              <w:rPr>
                <w:sz w:val="18"/>
              </w:rPr>
              <w:t>(37</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Net income for the three months ended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8"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58,510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58,510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b/>
                <w:sz w:val="18"/>
              </w:rPr>
            </w:pPr>
            <w:r>
              <w:rPr>
                <w:b/>
                <w:sz w:val="18"/>
              </w:rPr>
              <w:t>Balance - June 30, 2025</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860" w:type="dxa"/>
            <w:tcBorders>
              <w:bottom w:val="double" w:sz="6" w:space="0" w:color="000000"/>
            </w:tcBorders>
            <w:tcMar>
              <w:bottom w:w="28" w:type="dxa"/>
            </w:tcMar>
            <w:vAlign w:val="center"/>
          </w:tcPr>
          <w:p>
            <w:pPr>
              <w:pStyle w:val="TableContents"/>
              <w:bidi w:val="0"/>
              <w:spacing w:before="0" w:after="283"/>
              <w:jc w:val="right"/>
              <w:rPr>
                <w:sz w:val="18"/>
              </w:rPr>
            </w:pPr>
            <w:r>
              <w:rPr>
                <w:sz w:val="18"/>
              </w:rPr>
              <w:t>57,196,294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sz w:val="18"/>
              </w:rPr>
            </w:pPr>
            <w:r>
              <w:rPr>
                <w:sz w:val="18"/>
              </w:rPr>
              <w:t>$</w:t>
            </w:r>
          </w:p>
        </w:tc>
        <w:tc>
          <w:tcPr>
            <w:tcW w:w="455" w:type="dxa"/>
            <w:tcBorders>
              <w:bottom w:val="double" w:sz="6" w:space="0" w:color="000000"/>
            </w:tcBorders>
            <w:tcMar>
              <w:bottom w:w="28" w:type="dxa"/>
            </w:tcMar>
            <w:vAlign w:val="center"/>
          </w:tcPr>
          <w:p>
            <w:pPr>
              <w:pStyle w:val="TableContents"/>
              <w:bidi w:val="0"/>
              <w:spacing w:before="0" w:after="283"/>
              <w:jc w:val="right"/>
              <w:rPr>
                <w:sz w:val="18"/>
              </w:rPr>
            </w:pPr>
            <w:r>
              <w:rPr>
                <w:sz w:val="18"/>
              </w:rPr>
              <w:t>5,717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tcMar>
              <w:bottom w:w="28" w:type="dxa"/>
            </w:tcMar>
            <w:vAlign w:val="center"/>
          </w:tcPr>
          <w:p>
            <w:pPr>
              <w:pStyle w:val="TableContents"/>
              <w:bidi w:val="0"/>
              <w:spacing w:before="0" w:after="283"/>
              <w:jc w:val="right"/>
              <w:rPr>
                <w:sz w:val="18"/>
              </w:rPr>
            </w:pPr>
            <w:r>
              <w:rPr>
                <w:sz w:val="18"/>
              </w:rPr>
              <w:t>433,687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bottom w:val="double" w:sz="6" w:space="0" w:color="000000"/>
            </w:tcBorders>
            <w:tcMar>
              <w:bottom w:w="28" w:type="dxa"/>
            </w:tcMar>
            <w:vAlign w:val="center"/>
          </w:tcPr>
          <w:p>
            <w:pPr>
              <w:pStyle w:val="TableContents"/>
              <w:bidi w:val="0"/>
              <w:spacing w:before="0" w:after="283"/>
              <w:jc w:val="left"/>
              <w:rPr>
                <w:sz w:val="18"/>
              </w:rPr>
            </w:pPr>
            <w:r>
              <w:rPr>
                <w:sz w:val="18"/>
              </w:rPr>
              <w:t>$</w:t>
            </w:r>
          </w:p>
        </w:tc>
        <w:tc>
          <w:tcPr>
            <w:tcW w:w="338" w:type="dxa"/>
            <w:tcBorders>
              <w:bottom w:val="double" w:sz="6" w:space="0" w:color="000000"/>
            </w:tcBorders>
            <w:tcMar>
              <w:bottom w:w="28" w:type="dxa"/>
            </w:tcMar>
            <w:vAlign w:val="center"/>
          </w:tcPr>
          <w:p>
            <w:pPr>
              <w:pStyle w:val="TableContents"/>
              <w:bidi w:val="0"/>
              <w:spacing w:before="0" w:after="283"/>
              <w:jc w:val="right"/>
              <w:rPr>
                <w:sz w:val="18"/>
              </w:rPr>
            </w:pPr>
            <w:r>
              <w:rPr>
                <w:sz w:val="18"/>
              </w:rPr>
              <w:t>42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sz w:val="18"/>
              </w:rPr>
            </w:pPr>
            <w:r>
              <w:rPr>
                <w:sz w:val="18"/>
              </w:rPr>
              <w:t>$</w:t>
            </w:r>
          </w:p>
        </w:tc>
        <w:tc>
          <w:tcPr>
            <w:tcW w:w="860" w:type="dxa"/>
            <w:tcBorders>
              <w:bottom w:val="double" w:sz="6" w:space="0" w:color="000000"/>
            </w:tcBorders>
            <w:tcMar>
              <w:bottom w:w="28" w:type="dxa"/>
            </w:tcMar>
            <w:vAlign w:val="center"/>
          </w:tcPr>
          <w:p>
            <w:pPr>
              <w:pStyle w:val="TableContents"/>
              <w:bidi w:val="0"/>
              <w:spacing w:before="0" w:after="283"/>
              <w:jc w:val="right"/>
              <w:rPr>
                <w:sz w:val="18"/>
              </w:rPr>
            </w:pPr>
            <w:r>
              <w:rPr>
                <w:sz w:val="18"/>
              </w:rPr>
              <w:t>45,722,436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770" w:type="dxa"/>
            <w:tcBorders>
              <w:bottom w:val="double" w:sz="6" w:space="0" w:color="000000"/>
            </w:tcBorders>
            <w:tcMar>
              <w:bottom w:w="28" w:type="dxa"/>
            </w:tcMar>
            <w:vAlign w:val="center"/>
          </w:tcPr>
          <w:p>
            <w:pPr>
              <w:pStyle w:val="TableContents"/>
              <w:bidi w:val="0"/>
              <w:spacing w:before="0" w:after="283"/>
              <w:jc w:val="right"/>
              <w:rPr>
                <w:sz w:val="18"/>
              </w:rPr>
            </w:pPr>
            <w:r>
              <w:rPr>
                <w:sz w:val="18"/>
              </w:rPr>
              <w:t>2,644,297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tcMar>
              <w:bottom w:w="28" w:type="dxa"/>
            </w:tcMar>
            <w:vAlign w:val="center"/>
          </w:tcPr>
          <w:p>
            <w:pPr>
              <w:pStyle w:val="TableContents"/>
              <w:bidi w:val="0"/>
              <w:spacing w:before="0" w:after="283"/>
              <w:jc w:val="right"/>
              <w:rPr>
                <w:sz w:val="18"/>
              </w:rPr>
            </w:pPr>
            <w:r>
              <w:rPr>
                <w:sz w:val="18"/>
              </w:rPr>
              <w:t>(1,141,372</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1" w:type="dxa"/>
            <w:tcBorders>
              <w:bottom w:val="double" w:sz="6" w:space="0" w:color="000000"/>
            </w:tcBorders>
            <w:tcMar>
              <w:bottom w:w="28" w:type="dxa"/>
            </w:tcMar>
            <w:vAlign w:val="center"/>
          </w:tcPr>
          <w:p>
            <w:pPr>
              <w:pStyle w:val="TableContents"/>
              <w:bidi w:val="0"/>
              <w:spacing w:before="0" w:after="283"/>
              <w:jc w:val="left"/>
              <w:rPr>
                <w:sz w:val="18"/>
              </w:rPr>
            </w:pPr>
            <w:r>
              <w:rPr>
                <w:sz w:val="18"/>
              </w:rPr>
              <w:t>$</w:t>
            </w:r>
          </w:p>
        </w:tc>
        <w:tc>
          <w:tcPr>
            <w:tcW w:w="929" w:type="dxa"/>
            <w:tcBorders>
              <w:bottom w:val="double" w:sz="6" w:space="0" w:color="000000"/>
            </w:tcBorders>
            <w:tcMar>
              <w:bottom w:w="28" w:type="dxa"/>
            </w:tcMar>
            <w:vAlign w:val="center"/>
          </w:tcPr>
          <w:p>
            <w:pPr>
              <w:pStyle w:val="TableContents"/>
              <w:bidi w:val="0"/>
              <w:spacing w:before="0" w:after="283"/>
              <w:jc w:val="right"/>
              <w:rPr>
                <w:sz w:val="18"/>
              </w:rPr>
            </w:pPr>
            <w:r>
              <w:rPr>
                <w:sz w:val="18"/>
              </w:rPr>
              <w:t>(36,581,690</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sz w:val="18"/>
              </w:rPr>
            </w:pPr>
            <w:r>
              <w:rPr>
                <w:sz w:val="18"/>
              </w:rPr>
              <w:t>$</w:t>
            </w:r>
          </w:p>
        </w:tc>
        <w:tc>
          <w:tcPr>
            <w:tcW w:w="770" w:type="dxa"/>
            <w:tcBorders>
              <w:bottom w:val="double" w:sz="6" w:space="0" w:color="000000"/>
            </w:tcBorders>
            <w:tcMar>
              <w:bottom w:w="28" w:type="dxa"/>
            </w:tcMar>
            <w:vAlign w:val="center"/>
          </w:tcPr>
          <w:p>
            <w:pPr>
              <w:pStyle w:val="TableContents"/>
              <w:bidi w:val="0"/>
              <w:spacing w:before="0" w:after="283"/>
              <w:jc w:val="right"/>
              <w:rPr>
                <w:sz w:val="18"/>
              </w:rPr>
            </w:pPr>
            <w:r>
              <w:rPr>
                <w:sz w:val="18"/>
              </w:rPr>
              <w:t>8,005,133</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b/>
                <w:sz w:val="18"/>
              </w:rPr>
            </w:pPr>
            <w:r>
              <w:rPr>
                <w:b/>
                <w:sz w:val="18"/>
              </w:rPr>
              <w:t>Balance - December 31, 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8"/>
              </w:rPr>
            </w:pPr>
            <w:r>
              <w:rPr>
                <w:sz w:val="18"/>
              </w:rPr>
              <w:t>52,538,100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w:t>
            </w:r>
          </w:p>
        </w:tc>
        <w:tc>
          <w:tcPr>
            <w:tcW w:w="455" w:type="dxa"/>
            <w:tcBorders/>
            <w:vAlign w:val="center"/>
          </w:tcPr>
          <w:p>
            <w:pPr>
              <w:pStyle w:val="TableContents"/>
              <w:bidi w:val="0"/>
              <w:spacing w:before="0" w:after="283"/>
              <w:jc w:val="right"/>
              <w:rPr>
                <w:sz w:val="18"/>
              </w:rPr>
            </w:pPr>
            <w:r>
              <w:rPr>
                <w:sz w:val="18"/>
              </w:rPr>
              <w:t>5,251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18"/>
              </w:rPr>
            </w:pPr>
            <w:r>
              <w:rPr>
                <w:sz w:val="18"/>
              </w:rPr>
              <w:t>$</w:t>
            </w:r>
          </w:p>
        </w:tc>
        <w:tc>
          <w:tcPr>
            <w:tcW w:w="338"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w:t>
            </w:r>
          </w:p>
        </w:tc>
        <w:tc>
          <w:tcPr>
            <w:tcW w:w="860" w:type="dxa"/>
            <w:tcBorders/>
            <w:vAlign w:val="center"/>
          </w:tcPr>
          <w:p>
            <w:pPr>
              <w:pStyle w:val="TableContents"/>
              <w:bidi w:val="0"/>
              <w:spacing w:before="0" w:after="283"/>
              <w:jc w:val="right"/>
              <w:rPr>
                <w:sz w:val="18"/>
              </w:rPr>
            </w:pPr>
            <w:r>
              <w:rPr>
                <w:sz w:val="18"/>
              </w:rPr>
              <w:t>42,762,811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2,623,171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w:t>
            </w:r>
          </w:p>
        </w:tc>
        <w:tc>
          <w:tcPr>
            <w:tcW w:w="830" w:type="dxa"/>
            <w:tcBorders/>
            <w:vAlign w:val="center"/>
          </w:tcPr>
          <w:p>
            <w:pPr>
              <w:pStyle w:val="TableContents"/>
              <w:bidi w:val="0"/>
              <w:spacing w:before="0" w:after="283"/>
              <w:jc w:val="right"/>
              <w:rPr>
                <w:sz w:val="18"/>
              </w:rPr>
            </w:pPr>
            <w:r>
              <w:rPr>
                <w:sz w:val="18"/>
              </w:rPr>
              <w:t>(1,141,370</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18"/>
              </w:rPr>
            </w:pPr>
            <w:r>
              <w:rPr>
                <w:sz w:val="18"/>
              </w:rPr>
              <w:t>$</w:t>
            </w:r>
          </w:p>
        </w:tc>
        <w:tc>
          <w:tcPr>
            <w:tcW w:w="929" w:type="dxa"/>
            <w:tcBorders/>
            <w:vAlign w:val="center"/>
          </w:tcPr>
          <w:p>
            <w:pPr>
              <w:pStyle w:val="TableContents"/>
              <w:bidi w:val="0"/>
              <w:spacing w:before="0" w:after="283"/>
              <w:jc w:val="right"/>
              <w:rPr>
                <w:sz w:val="18"/>
              </w:rPr>
            </w:pPr>
            <w:r>
              <w:rPr>
                <w:sz w:val="18"/>
              </w:rPr>
              <w:t>(38,821,278</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18"/>
              </w:rPr>
            </w:pPr>
            <w:r>
              <w:rPr>
                <w:sz w:val="18"/>
              </w:rPr>
              <w:t>$</w:t>
            </w:r>
          </w:p>
        </w:tc>
        <w:tc>
          <w:tcPr>
            <w:tcW w:w="770" w:type="dxa"/>
            <w:tcBorders/>
            <w:vAlign w:val="center"/>
          </w:tcPr>
          <w:p>
            <w:pPr>
              <w:pStyle w:val="TableContents"/>
              <w:bidi w:val="0"/>
              <w:spacing w:before="0" w:after="283"/>
              <w:jc w:val="right"/>
              <w:rPr>
                <w:sz w:val="18"/>
              </w:rPr>
            </w:pPr>
            <w:r>
              <w:rPr>
                <w:sz w:val="18"/>
              </w:rPr>
              <w:t>2,805,414</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Shares returned to treasury from sale of subsidiary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(21,124</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21,126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(21,126</w:t>
            </w:r>
          </w:p>
        </w:tc>
        <w:tc>
          <w:tcPr>
            <w:tcW w:w="135"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1040" w:type="dxa"/>
            <w:tcBorders/>
            <w:vAlign w:val="center"/>
          </w:tcPr>
          <w:p>
            <w:pPr>
              <w:pStyle w:val="TableContents"/>
              <w:bidi w:val="0"/>
              <w:spacing w:before="0" w:after="283"/>
              <w:jc w:val="left"/>
              <w:rPr>
                <w:sz w:val="18"/>
              </w:rPr>
            </w:pPr>
            <w:r>
              <w:rPr>
                <w:sz w:val="18"/>
              </w:rPr>
              <w:t>Fair value of shares under compensation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8"/>
              </w:rPr>
            </w:pPr>
            <w:r>
              <w:rPr>
                <w:sz w:val="18"/>
              </w:rPr>
              <w:t>208,504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208,504</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Shares issued for cashless exercise of options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24,138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8"/>
              </w:rPr>
            </w:pPr>
            <w:r>
              <w:rPr>
                <w:sz w:val="18"/>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8"/>
              </w:rPr>
            </w:pPr>
            <w:r>
              <w:rPr>
                <w:sz w:val="18"/>
              </w:rPr>
              <w:t>Net loss for the six months ended June 30, 2024</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338"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bottom w:val="single" w:sz="8" w:space="0" w:color="000000"/>
            </w:tcBorders>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tcMar>
              <w:bottom w:w="28" w:type="dxa"/>
            </w:tcMar>
            <w:vAlign w:val="center"/>
          </w:tcPr>
          <w:p>
            <w:pPr>
              <w:pStyle w:val="TableContents"/>
              <w:bidi w:val="0"/>
              <w:spacing w:before="0" w:after="283"/>
              <w:jc w:val="right"/>
              <w:rPr>
                <w:sz w:val="18"/>
              </w:rPr>
            </w:pPr>
            <w:r>
              <w:rPr>
                <w:sz w:val="18"/>
              </w:rPr>
              <w:t>1,322,550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sz w:val="18"/>
              </w:rPr>
            </w:pPr>
            <w:r>
              <w:rPr>
                <w:sz w:val="18"/>
              </w:rPr>
              <w:t>1,322,550</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b/>
                <w:sz w:val="18"/>
              </w:rPr>
            </w:pPr>
            <w:r>
              <w:rPr>
                <w:b/>
                <w:sz w:val="18"/>
              </w:rPr>
              <w:t>Balance - June 30,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52,562,238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5,253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42,950,189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2,644,297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(1,141,372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929"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(37,498,728</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sz w:val="18"/>
              </w:rPr>
            </w:pPr>
            <w:r>
              <w:rPr>
                <w:sz w:val="18"/>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sz w:val="18"/>
              </w:rPr>
            </w:pPr>
            <w:r>
              <w:rPr>
                <w:sz w:val="18"/>
              </w:rPr>
              <w:t>4,315,342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b/>
                <w:sz w:val="18"/>
              </w:rPr>
            </w:pPr>
            <w:r>
              <w:rPr>
                <w:b/>
                <w:sz w:val="18"/>
              </w:rPr>
              <w:t>Balance -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56,009,032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455" w:type="dxa"/>
            <w:tcBorders/>
            <w:shd w:fill="CCEEFF" w:val="clear"/>
            <w:vAlign w:val="center"/>
          </w:tcPr>
          <w:p>
            <w:pPr>
              <w:pStyle w:val="TableContents"/>
              <w:bidi w:val="0"/>
              <w:spacing w:before="0" w:after="283"/>
              <w:jc w:val="right"/>
              <w:rPr>
                <w:sz w:val="18"/>
              </w:rPr>
            </w:pPr>
            <w:r>
              <w:rPr>
                <w:sz w:val="18"/>
              </w:rPr>
              <w:t>5,598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8"/>
              </w:rPr>
            </w:pPr>
            <w:r>
              <w:rPr>
                <w:sz w:val="18"/>
              </w:rPr>
              <w:t>738,032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sz w:val="18"/>
              </w:rPr>
            </w:pPr>
            <w:r>
              <w:rPr>
                <w:sz w:val="18"/>
              </w:rPr>
              <w:t>$</w:t>
            </w:r>
          </w:p>
        </w:tc>
        <w:tc>
          <w:tcPr>
            <w:tcW w:w="338" w:type="dxa"/>
            <w:tcBorders/>
            <w:shd w:fill="CCEEFF" w:val="clear"/>
            <w:vAlign w:val="center"/>
          </w:tcPr>
          <w:p>
            <w:pPr>
              <w:pStyle w:val="TableContents"/>
              <w:bidi w:val="0"/>
              <w:spacing w:before="0" w:after="283"/>
              <w:jc w:val="right"/>
              <w:rPr>
                <w:sz w:val="18"/>
              </w:rPr>
            </w:pPr>
            <w:r>
              <w:rPr>
                <w:sz w:val="18"/>
              </w:rPr>
              <w:t>74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860" w:type="dxa"/>
            <w:tcBorders/>
            <w:shd w:fill="CCEEFF" w:val="clear"/>
            <w:vAlign w:val="center"/>
          </w:tcPr>
          <w:p>
            <w:pPr>
              <w:pStyle w:val="TableContents"/>
              <w:bidi w:val="0"/>
              <w:spacing w:before="0" w:after="283"/>
              <w:jc w:val="right"/>
              <w:rPr>
                <w:sz w:val="18"/>
              </w:rPr>
            </w:pPr>
            <w:r>
              <w:rPr>
                <w:sz w:val="18"/>
              </w:rPr>
              <w:t>45,520,121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2,644,297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830" w:type="dxa"/>
            <w:tcBorders/>
            <w:shd w:fill="CCEEFF" w:val="clear"/>
            <w:vAlign w:val="center"/>
          </w:tcPr>
          <w:p>
            <w:pPr>
              <w:pStyle w:val="TableContents"/>
              <w:bidi w:val="0"/>
              <w:spacing w:before="0" w:after="283"/>
              <w:jc w:val="right"/>
              <w:rPr>
                <w:sz w:val="18"/>
              </w:rPr>
            </w:pPr>
            <w:r>
              <w:rPr>
                <w:sz w:val="18"/>
              </w:rPr>
              <w:t>(1,141,372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18"/>
              </w:rPr>
            </w:pPr>
            <w:r>
              <w:rPr>
                <w:sz w:val="18"/>
              </w:rPr>
              <w:t>$</w:t>
            </w:r>
          </w:p>
        </w:tc>
        <w:tc>
          <w:tcPr>
            <w:tcW w:w="929" w:type="dxa"/>
            <w:tcBorders/>
            <w:shd w:fill="CCEEFF" w:val="clear"/>
            <w:vAlign w:val="center"/>
          </w:tcPr>
          <w:p>
            <w:pPr>
              <w:pStyle w:val="TableContents"/>
              <w:bidi w:val="0"/>
              <w:spacing w:before="0" w:after="283"/>
              <w:jc w:val="right"/>
              <w:rPr>
                <w:sz w:val="18"/>
              </w:rPr>
            </w:pPr>
            <w:r>
              <w:rPr>
                <w:sz w:val="18"/>
              </w:rPr>
              <w:t>(36,209,764</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18"/>
              </w:rPr>
            </w:pPr>
            <w:r>
              <w:rPr>
                <w:sz w:val="18"/>
              </w:rPr>
              <w:t>$</w:t>
            </w:r>
          </w:p>
        </w:tc>
        <w:tc>
          <w:tcPr>
            <w:tcW w:w="770" w:type="dxa"/>
            <w:tcBorders/>
            <w:shd w:fill="CCEEFF" w:val="clear"/>
            <w:vAlign w:val="center"/>
          </w:tcPr>
          <w:p>
            <w:pPr>
              <w:pStyle w:val="TableContents"/>
              <w:bidi w:val="0"/>
              <w:spacing w:before="0" w:after="283"/>
              <w:jc w:val="right"/>
              <w:rPr>
                <w:sz w:val="18"/>
              </w:rPr>
            </w:pPr>
            <w:r>
              <w:rPr>
                <w:sz w:val="18"/>
              </w:rPr>
              <w:t>8,174,657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8"/>
              </w:rPr>
            </w:pPr>
            <w:r>
              <w:rPr>
                <w:sz w:val="18"/>
              </w:rPr>
              <w:t>Shares issued in cashless conversion of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8"/>
              </w:rPr>
            </w:pPr>
            <w:r>
              <w:rPr>
                <w:sz w:val="18"/>
              </w:rPr>
              <w:t>84,026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sz w:val="18"/>
              </w:rPr>
            </w:pPr>
            <w:r>
              <w:rPr>
                <w:sz w:val="18"/>
              </w:rPr>
              <w:t>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8"/>
              </w:rPr>
            </w:pPr>
            <w:r>
              <w:rPr>
                <w:sz w:val="18"/>
              </w:rPr>
              <w:t>(8</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Fair value of shares under compensation plan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202,402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202,402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8"/>
              </w:rPr>
            </w:pPr>
            <w:r>
              <w:rPr>
                <w:sz w:val="18"/>
              </w:rPr>
              <w:t>Shares earned under compensation plans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18"/>
              </w:rPr>
            </w:pPr>
            <w:r>
              <w:rPr>
                <w:sz w:val="18"/>
              </w:rPr>
              <w:t>798,891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right"/>
              <w:rPr>
                <w:sz w:val="18"/>
              </w:rPr>
            </w:pPr>
            <w:r>
              <w:rPr>
                <w:sz w:val="18"/>
              </w:rPr>
              <w:t>79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8"/>
              </w:rPr>
            </w:pPr>
            <w:r>
              <w:rPr>
                <w:sz w:val="18"/>
              </w:rPr>
              <w:t>(79</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Shares issued under compensation plans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1,103,236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sz w:val="18"/>
              </w:rPr>
            </w:pPr>
            <w:r>
              <w:rPr>
                <w:sz w:val="18"/>
              </w:rPr>
              <w:t>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18"/>
              </w:rPr>
            </w:pPr>
            <w:r>
              <w:rPr>
                <w:sz w:val="18"/>
              </w:rPr>
              <w:t>(738,032</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sz w:val="18"/>
              </w:rPr>
            </w:pPr>
            <w:r>
              <w:rPr>
                <w:sz w:val="18"/>
              </w:rPr>
              <w:t>(74</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sz w:val="18"/>
              </w:rPr>
            </w:pPr>
            <w:r>
              <w:rPr>
                <w:sz w:val="18"/>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18"/>
              </w:rPr>
            </w:pPr>
            <w:r>
              <w:rPr>
                <w:sz w:val="18"/>
              </w:rPr>
              <w:t>Shares issued from shares to be issued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sz w:val="18"/>
              </w:rPr>
            </w:pPr>
            <w:r>
              <w:rPr>
                <w:sz w:val="18"/>
              </w:rPr>
              <w:t>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sz w:val="18"/>
              </w:rPr>
            </w:pPr>
            <w:r>
              <w:rPr>
                <w:sz w:val="18"/>
              </w:rPr>
              <w:t>(365,204</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right"/>
              <w:rPr>
                <w:sz w:val="18"/>
              </w:rPr>
            </w:pPr>
            <w:r>
              <w:rPr>
                <w:sz w:val="18"/>
              </w:rPr>
              <w:t>(37</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sz w:val="18"/>
              </w:rPr>
            </w:pPr>
            <w:r>
              <w:rPr>
                <w:sz w:val="18"/>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8"/>
              </w:rPr>
            </w:pPr>
            <w:r>
              <w:rPr>
                <w:sz w:val="18"/>
              </w:rPr>
              <w:t>-</w:t>
            </w:r>
          </w:p>
        </w:tc>
        <w:tc>
          <w:tcPr>
            <w:tcW w:w="13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18"/>
              </w:rPr>
            </w:pPr>
            <w:r>
              <w:rPr>
                <w:sz w:val="18"/>
              </w:rPr>
              <w:t>Net loss for the six months ended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8"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(371,926</w:t>
            </w:r>
          </w:p>
        </w:tc>
        <w:tc>
          <w:tcPr>
            <w:tcW w:w="110" w:type="dxa"/>
            <w:tcBorders/>
            <w:shd w:fill="CCEEFF" w:val="clear"/>
            <w:vAlign w:val="center"/>
          </w:tcPr>
          <w:p>
            <w:pPr>
              <w:pStyle w:val="TableContents"/>
              <w:bidi w:val="0"/>
              <w:spacing w:before="0" w:after="283"/>
              <w:jc w:val="left"/>
              <w:rPr>
                <w:sz w:val="18"/>
              </w:rPr>
            </w:pPr>
            <w:r>
              <w:rPr>
                <w:sz w:val="18"/>
              </w:rPr>
              <w:t>)</w:t>
            </w:r>
          </w:p>
        </w:tc>
        <w:tc>
          <w:tcPr>
            <w:tcW w:w="9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sz w:val="18"/>
              </w:rPr>
            </w:pPr>
            <w:r>
              <w:rPr>
                <w:sz w:val="18"/>
              </w:rPr>
              <w:t>(371,926</w:t>
            </w:r>
          </w:p>
        </w:tc>
        <w:tc>
          <w:tcPr>
            <w:tcW w:w="135" w:type="dxa"/>
            <w:tcBorders/>
            <w:shd w:fill="CCEEFF" w:val="clear"/>
            <w:vAlign w:val="center"/>
          </w:tcPr>
          <w:p>
            <w:pPr>
              <w:pStyle w:val="TableContents"/>
              <w:bidi w:val="0"/>
              <w:spacing w:before="0" w:after="283"/>
              <w:ind w:left="0" w:right="0" w:hanging="180"/>
              <w:jc w:val="left"/>
              <w:rPr>
                <w:sz w:val="18"/>
              </w:rPr>
            </w:pPr>
            <w:r>
              <w:rPr>
                <w:sz w:val="18"/>
              </w:rPr>
              <w:t>)</w:t>
            </w:r>
          </w:p>
        </w:tc>
      </w:tr>
      <w:tr>
        <w:trPr/>
        <w:tc>
          <w:tcPr>
            <w:tcW w:w="1040" w:type="dxa"/>
            <w:tcBorders/>
            <w:vAlign w:val="center"/>
          </w:tcPr>
          <w:p>
            <w:pPr>
              <w:pStyle w:val="TableContents"/>
              <w:bidi w:val="0"/>
              <w:spacing w:before="0" w:after="283"/>
              <w:jc w:val="left"/>
              <w:rPr>
                <w:b/>
                <w:sz w:val="18"/>
              </w:rPr>
            </w:pPr>
            <w:r>
              <w:rPr>
                <w:b/>
                <w:sz w:val="18"/>
              </w:rPr>
              <w:t>Balance - June 30, 2025</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860" w:type="dxa"/>
            <w:tcBorders>
              <w:bottom w:val="double" w:sz="6" w:space="0" w:color="000000"/>
            </w:tcBorders>
            <w:tcMar>
              <w:bottom w:w="28" w:type="dxa"/>
            </w:tcMar>
            <w:vAlign w:val="center"/>
          </w:tcPr>
          <w:p>
            <w:pPr>
              <w:pStyle w:val="TableContents"/>
              <w:bidi w:val="0"/>
              <w:spacing w:before="0" w:after="283"/>
              <w:jc w:val="right"/>
              <w:rPr>
                <w:sz w:val="18"/>
              </w:rPr>
            </w:pPr>
            <w:r>
              <w:rPr>
                <w:sz w:val="18"/>
              </w:rPr>
              <w:t>57,196,294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sz w:val="18"/>
              </w:rPr>
            </w:pPr>
            <w:r>
              <w:rPr>
                <w:sz w:val="18"/>
              </w:rPr>
              <w:t>$</w:t>
            </w:r>
          </w:p>
        </w:tc>
        <w:tc>
          <w:tcPr>
            <w:tcW w:w="455" w:type="dxa"/>
            <w:tcBorders>
              <w:bottom w:val="double" w:sz="6" w:space="0" w:color="000000"/>
            </w:tcBorders>
            <w:tcMar>
              <w:bottom w:w="28" w:type="dxa"/>
            </w:tcMar>
            <w:vAlign w:val="center"/>
          </w:tcPr>
          <w:p>
            <w:pPr>
              <w:pStyle w:val="TableContents"/>
              <w:bidi w:val="0"/>
              <w:spacing w:before="0" w:after="283"/>
              <w:jc w:val="right"/>
              <w:rPr>
                <w:sz w:val="18"/>
              </w:rPr>
            </w:pPr>
            <w:r>
              <w:rPr>
                <w:sz w:val="18"/>
              </w:rPr>
              <w:t>5,717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tcMar>
              <w:bottom w:w="28" w:type="dxa"/>
            </w:tcMar>
            <w:vAlign w:val="center"/>
          </w:tcPr>
          <w:p>
            <w:pPr>
              <w:pStyle w:val="TableContents"/>
              <w:bidi w:val="0"/>
              <w:spacing w:before="0" w:after="283"/>
              <w:jc w:val="right"/>
              <w:rPr>
                <w:sz w:val="18"/>
              </w:rPr>
            </w:pPr>
            <w:r>
              <w:rPr>
                <w:sz w:val="18"/>
              </w:rPr>
              <w:t>433,687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 w:type="dxa"/>
            <w:tcBorders>
              <w:bottom w:val="double" w:sz="6" w:space="0" w:color="000000"/>
            </w:tcBorders>
            <w:tcMar>
              <w:bottom w:w="28" w:type="dxa"/>
            </w:tcMar>
            <w:vAlign w:val="center"/>
          </w:tcPr>
          <w:p>
            <w:pPr>
              <w:pStyle w:val="TableContents"/>
              <w:bidi w:val="0"/>
              <w:spacing w:before="0" w:after="283"/>
              <w:jc w:val="left"/>
              <w:rPr>
                <w:sz w:val="18"/>
              </w:rPr>
            </w:pPr>
            <w:r>
              <w:rPr>
                <w:sz w:val="18"/>
              </w:rPr>
              <w:t>$</w:t>
            </w:r>
          </w:p>
        </w:tc>
        <w:tc>
          <w:tcPr>
            <w:tcW w:w="338" w:type="dxa"/>
            <w:tcBorders>
              <w:bottom w:val="double" w:sz="6" w:space="0" w:color="000000"/>
            </w:tcBorders>
            <w:tcMar>
              <w:bottom w:w="28" w:type="dxa"/>
            </w:tcMar>
            <w:vAlign w:val="center"/>
          </w:tcPr>
          <w:p>
            <w:pPr>
              <w:pStyle w:val="TableContents"/>
              <w:bidi w:val="0"/>
              <w:spacing w:before="0" w:after="283"/>
              <w:jc w:val="right"/>
              <w:rPr>
                <w:sz w:val="18"/>
              </w:rPr>
            </w:pPr>
            <w:r>
              <w:rPr>
                <w:sz w:val="18"/>
              </w:rPr>
              <w:t>42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sz w:val="18"/>
              </w:rPr>
            </w:pPr>
            <w:r>
              <w:rPr>
                <w:sz w:val="18"/>
              </w:rPr>
              <w:t>$</w:t>
            </w:r>
          </w:p>
        </w:tc>
        <w:tc>
          <w:tcPr>
            <w:tcW w:w="860" w:type="dxa"/>
            <w:tcBorders>
              <w:bottom w:val="double" w:sz="6" w:space="0" w:color="000000"/>
            </w:tcBorders>
            <w:tcMar>
              <w:bottom w:w="28" w:type="dxa"/>
            </w:tcMar>
            <w:vAlign w:val="center"/>
          </w:tcPr>
          <w:p>
            <w:pPr>
              <w:pStyle w:val="TableContents"/>
              <w:bidi w:val="0"/>
              <w:spacing w:before="0" w:after="283"/>
              <w:jc w:val="right"/>
              <w:rPr>
                <w:sz w:val="18"/>
              </w:rPr>
            </w:pPr>
            <w:r>
              <w:rPr>
                <w:sz w:val="18"/>
              </w:rPr>
              <w:t>45,722,436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770" w:type="dxa"/>
            <w:tcBorders>
              <w:bottom w:val="double" w:sz="6" w:space="0" w:color="000000"/>
            </w:tcBorders>
            <w:tcMar>
              <w:bottom w:w="28" w:type="dxa"/>
            </w:tcMar>
            <w:vAlign w:val="center"/>
          </w:tcPr>
          <w:p>
            <w:pPr>
              <w:pStyle w:val="TableContents"/>
              <w:bidi w:val="0"/>
              <w:spacing w:before="0" w:after="283"/>
              <w:jc w:val="right"/>
              <w:rPr>
                <w:sz w:val="18"/>
              </w:rPr>
            </w:pPr>
            <w:r>
              <w:rPr>
                <w:sz w:val="18"/>
              </w:rPr>
              <w:t>2,644,297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sz w:val="18"/>
              </w:rPr>
            </w:pPr>
            <w:r>
              <w:rPr>
                <w:sz w:val="18"/>
              </w:rPr>
              <w:t>$</w:t>
            </w:r>
          </w:p>
        </w:tc>
        <w:tc>
          <w:tcPr>
            <w:tcW w:w="830" w:type="dxa"/>
            <w:tcBorders>
              <w:bottom w:val="double" w:sz="6" w:space="0" w:color="000000"/>
            </w:tcBorders>
            <w:tcMar>
              <w:bottom w:w="28" w:type="dxa"/>
            </w:tcMar>
            <w:vAlign w:val="center"/>
          </w:tcPr>
          <w:p>
            <w:pPr>
              <w:pStyle w:val="TableContents"/>
              <w:bidi w:val="0"/>
              <w:spacing w:before="0" w:after="283"/>
              <w:jc w:val="right"/>
              <w:rPr>
                <w:sz w:val="18"/>
              </w:rPr>
            </w:pPr>
            <w:r>
              <w:rPr>
                <w:sz w:val="18"/>
              </w:rPr>
              <w:t>(1,141,372</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1" w:type="dxa"/>
            <w:tcBorders>
              <w:bottom w:val="double" w:sz="6" w:space="0" w:color="000000"/>
            </w:tcBorders>
            <w:tcMar>
              <w:bottom w:w="28" w:type="dxa"/>
            </w:tcMar>
            <w:vAlign w:val="center"/>
          </w:tcPr>
          <w:p>
            <w:pPr>
              <w:pStyle w:val="TableContents"/>
              <w:bidi w:val="0"/>
              <w:spacing w:before="0" w:after="283"/>
              <w:jc w:val="left"/>
              <w:rPr>
                <w:sz w:val="18"/>
              </w:rPr>
            </w:pPr>
            <w:r>
              <w:rPr>
                <w:sz w:val="18"/>
              </w:rPr>
              <w:t>$</w:t>
            </w:r>
          </w:p>
        </w:tc>
        <w:tc>
          <w:tcPr>
            <w:tcW w:w="929" w:type="dxa"/>
            <w:tcBorders>
              <w:bottom w:val="double" w:sz="6" w:space="0" w:color="000000"/>
            </w:tcBorders>
            <w:tcMar>
              <w:bottom w:w="28" w:type="dxa"/>
            </w:tcMar>
            <w:vAlign w:val="center"/>
          </w:tcPr>
          <w:p>
            <w:pPr>
              <w:pStyle w:val="TableContents"/>
              <w:bidi w:val="0"/>
              <w:spacing w:before="0" w:after="283"/>
              <w:jc w:val="right"/>
              <w:rPr>
                <w:sz w:val="18"/>
              </w:rPr>
            </w:pPr>
            <w:r>
              <w:rPr>
                <w:sz w:val="18"/>
              </w:rPr>
              <w:t>(36,581,690</w:t>
            </w:r>
          </w:p>
        </w:tc>
        <w:tc>
          <w:tcPr>
            <w:tcW w:w="110" w:type="dxa"/>
            <w:tcBorders/>
            <w:vAlign w:val="center"/>
          </w:tcPr>
          <w:p>
            <w:pPr>
              <w:pStyle w:val="TableContents"/>
              <w:bidi w:val="0"/>
              <w:spacing w:before="0" w:after="283"/>
              <w:jc w:val="left"/>
              <w:rPr>
                <w:sz w:val="18"/>
              </w:rPr>
            </w:pPr>
            <w:r>
              <w:rPr>
                <w:sz w:val="18"/>
              </w:rPr>
              <w:t>)</w:t>
            </w:r>
          </w:p>
        </w:tc>
        <w:tc>
          <w:tcPr>
            <w:tcW w:w="9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sz w:val="18"/>
              </w:rPr>
            </w:pPr>
            <w:r>
              <w:rPr>
                <w:sz w:val="18"/>
              </w:rPr>
              <w:t>$</w:t>
            </w:r>
          </w:p>
        </w:tc>
        <w:tc>
          <w:tcPr>
            <w:tcW w:w="770" w:type="dxa"/>
            <w:tcBorders>
              <w:bottom w:val="double" w:sz="6" w:space="0" w:color="000000"/>
            </w:tcBorders>
            <w:tcMar>
              <w:bottom w:w="28" w:type="dxa"/>
            </w:tcMar>
            <w:vAlign w:val="center"/>
          </w:tcPr>
          <w:p>
            <w:pPr>
              <w:pStyle w:val="TableContents"/>
              <w:bidi w:val="0"/>
              <w:spacing w:before="0" w:after="283"/>
              <w:jc w:val="right"/>
              <w:rPr>
                <w:sz w:val="18"/>
              </w:rPr>
            </w:pPr>
            <w:r>
              <w:rPr>
                <w:sz w:val="18"/>
              </w:rPr>
              <w:t>8,005,133</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condensed notes to these unaudited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Innovative Food Holdings, Inc.</w:t>
      </w:r>
    </w:p>
    <w:p>
      <w:pPr>
        <w:pStyle w:val="TextBody"/>
        <w:bidi w:val="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Consolidated Statements of Cash Flows</w:t>
      </w:r>
    </w:p>
    <w:p>
      <w:pPr>
        <w:pStyle w:val="TextBody"/>
        <w:bidi w:val="0"/>
        <w:ind w:left="15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ind w:left="158"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04"/>
        <w:gridCol w:w="90"/>
        <w:gridCol w:w="204"/>
        <w:gridCol w:w="1308"/>
        <w:gridCol w:w="125"/>
        <w:gridCol w:w="90"/>
        <w:gridCol w:w="204"/>
        <w:gridCol w:w="1308"/>
        <w:gridCol w:w="172"/>
      </w:tblGrid>
      <w:tr>
        <w:trPr/>
        <w:tc>
          <w:tcPr>
            <w:tcW w:w="6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2" w:type="dxa"/>
            <w:gridSpan w:val="2"/>
            <w:tcBorders/>
            <w:vAlign w:val="center"/>
          </w:tcPr>
          <w:p>
            <w:pPr>
              <w:pStyle w:val="TableContents"/>
              <w:bidi w:val="0"/>
              <w:spacing w:before="0" w:after="283"/>
              <w:jc w:val="center"/>
              <w:rPr>
                <w:b/>
              </w:rPr>
            </w:pPr>
            <w:r>
              <w:rPr>
                <w:b/>
              </w:rPr>
              <w:t>For the Six</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2" w:type="dxa"/>
            <w:gridSpan w:val="2"/>
            <w:tcBorders/>
            <w:vAlign w:val="center"/>
          </w:tcPr>
          <w:p>
            <w:pPr>
              <w:pStyle w:val="TableContents"/>
              <w:bidi w:val="0"/>
              <w:spacing w:before="0" w:after="283"/>
              <w:jc w:val="center"/>
              <w:rPr>
                <w:b/>
              </w:rPr>
            </w:pPr>
            <w:r>
              <w:rPr>
                <w:b/>
              </w:rPr>
              <w:t>For the Six</w:t>
            </w:r>
          </w:p>
        </w:tc>
        <w:tc>
          <w:tcPr>
            <w:tcW w:w="172" w:type="dxa"/>
            <w:tcBorders/>
            <w:vAlign w:val="center"/>
          </w:tcPr>
          <w:p>
            <w:pPr>
              <w:pStyle w:val="TableContents"/>
              <w:bidi w:val="0"/>
              <w:spacing w:before="0" w:after="283"/>
              <w:jc w:val="left"/>
              <w:rPr/>
            </w:pPr>
            <w:r>
              <w:rPr/>
              <w:t> </w:t>
            </w:r>
          </w:p>
        </w:tc>
      </w:tr>
      <w:tr>
        <w:trPr/>
        <w:tc>
          <w:tcPr>
            <w:tcW w:w="6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2" w:type="dxa"/>
            <w:gridSpan w:val="2"/>
            <w:tcBorders/>
            <w:vAlign w:val="center"/>
          </w:tcPr>
          <w:p>
            <w:pPr>
              <w:pStyle w:val="TableContents"/>
              <w:bidi w:val="0"/>
              <w:spacing w:before="0" w:after="283"/>
              <w:jc w:val="center"/>
              <w:rPr>
                <w:b/>
              </w:rPr>
            </w:pPr>
            <w:r>
              <w:rPr>
                <w:b/>
              </w:rPr>
              <w:t>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2" w:type="dxa"/>
            <w:gridSpan w:val="2"/>
            <w:tcBorders/>
            <w:vAlign w:val="center"/>
          </w:tcPr>
          <w:p>
            <w:pPr>
              <w:pStyle w:val="TableContents"/>
              <w:bidi w:val="0"/>
              <w:spacing w:before="0" w:after="283"/>
              <w:jc w:val="center"/>
              <w:rPr>
                <w:b/>
              </w:rPr>
            </w:pPr>
            <w:r>
              <w:rPr>
                <w:b/>
              </w:rPr>
              <w:t>Months Ended</w:t>
            </w:r>
          </w:p>
        </w:tc>
        <w:tc>
          <w:tcPr>
            <w:tcW w:w="172" w:type="dxa"/>
            <w:tcBorders/>
            <w:vAlign w:val="center"/>
          </w:tcPr>
          <w:p>
            <w:pPr>
              <w:pStyle w:val="TableContents"/>
              <w:bidi w:val="0"/>
              <w:spacing w:before="0" w:after="283"/>
              <w:jc w:val="left"/>
              <w:rPr/>
            </w:pPr>
            <w:r>
              <w:rPr/>
              <w:t> </w:t>
            </w:r>
          </w:p>
        </w:tc>
      </w:tr>
      <w:tr>
        <w:trPr/>
        <w:tc>
          <w:tcPr>
            <w:tcW w:w="6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2"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2" w:type="dxa"/>
            <w:gridSpan w:val="2"/>
            <w:tcBorders/>
            <w:vAlign w:val="center"/>
          </w:tcPr>
          <w:p>
            <w:pPr>
              <w:pStyle w:val="TableContents"/>
              <w:bidi w:val="0"/>
              <w:spacing w:before="0" w:after="283"/>
              <w:jc w:val="center"/>
              <w:rPr>
                <w:b/>
              </w:rPr>
            </w:pPr>
            <w:r>
              <w:rPr>
                <w:b/>
              </w:rPr>
              <w:t>June 30,</w:t>
            </w:r>
          </w:p>
        </w:tc>
        <w:tc>
          <w:tcPr>
            <w:tcW w:w="172" w:type="dxa"/>
            <w:tcBorders/>
            <w:vAlign w:val="center"/>
          </w:tcPr>
          <w:p>
            <w:pPr>
              <w:pStyle w:val="TableContents"/>
              <w:bidi w:val="0"/>
              <w:spacing w:before="0" w:after="283"/>
              <w:jc w:val="left"/>
              <w:rPr/>
            </w:pPr>
            <w:r>
              <w:rPr/>
              <w:t> </w:t>
            </w:r>
          </w:p>
        </w:tc>
      </w:tr>
      <w:tr>
        <w:trPr/>
        <w:tc>
          <w:tcPr>
            <w:tcW w:w="6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2" w:type="dxa"/>
            <w:tcBorders/>
            <w:vAlign w:val="center"/>
          </w:tcPr>
          <w:p>
            <w:pPr>
              <w:pStyle w:val="TableContents"/>
              <w:bidi w:val="0"/>
              <w:spacing w:before="0" w:after="283"/>
              <w:jc w:val="left"/>
              <w:rPr/>
            </w:pPr>
            <w:r>
              <w:rPr/>
              <w:t> </w:t>
            </w:r>
          </w:p>
        </w:tc>
      </w:tr>
      <w:tr>
        <w:trPr/>
        <w:tc>
          <w:tcPr>
            <w:tcW w:w="6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2"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2"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r>
      <w:tr>
        <w:trPr/>
        <w:tc>
          <w:tcPr>
            <w:tcW w:w="6704" w:type="dxa"/>
            <w:tcBorders/>
            <w:vAlign w:val="center"/>
          </w:tcPr>
          <w:p>
            <w:pPr>
              <w:pStyle w:val="TableContents"/>
              <w:bidi w:val="0"/>
              <w:spacing w:before="0" w:after="283"/>
              <w:jc w:val="left"/>
              <w:rPr/>
            </w:pPr>
            <w:r>
              <w:rPr/>
              <w:t>Cash flows used in operating activities:</w:t>
            </w:r>
          </w:p>
        </w:tc>
        <w:tc>
          <w:tcPr>
            <w:tcW w:w="90" w:type="dxa"/>
            <w:tcBorders/>
            <w:vAlign w:val="center"/>
          </w:tcPr>
          <w:p>
            <w:pPr>
              <w:pStyle w:val="TableContents"/>
              <w:bidi w:val="0"/>
              <w:spacing w:before="0" w:after="283"/>
              <w:jc w:val="left"/>
              <w:rPr/>
            </w:pPr>
            <w:r>
              <w:rPr/>
              <w:t> </w:t>
            </w:r>
          </w:p>
        </w:tc>
        <w:tc>
          <w:tcPr>
            <w:tcW w:w="1512"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2"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(371,926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1,322,550</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Adjustments to reconcile net income (loss) to net cash used in operating activities: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Gain on disposition of assets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(1,807,516</w:t>
            </w:r>
          </w:p>
        </w:tc>
        <w:tc>
          <w:tcPr>
            <w:tcW w:w="172" w:type="dxa"/>
            <w:tcBorders/>
            <w:shd w:fill="CCEEFF" w:val="clear"/>
            <w:vAlign w:val="center"/>
          </w:tcPr>
          <w:p>
            <w:pPr>
              <w:pStyle w:val="TableContents"/>
              <w:bidi w:val="0"/>
              <w:spacing w:before="0" w:after="283"/>
              <w:ind w:left="0" w:right="0" w:hanging="0"/>
              <w:jc w:val="left"/>
              <w:rPr/>
            </w:pPr>
            <w:r>
              <w:rPr/>
              <w:t>)</w:t>
            </w:r>
          </w:p>
        </w:tc>
      </w:tr>
      <w:tr>
        <w:trPr/>
        <w:tc>
          <w:tcPr>
            <w:tcW w:w="6704" w:type="dxa"/>
            <w:tcBorders/>
            <w:vAlign w:val="center"/>
          </w:tcPr>
          <w:p>
            <w:pPr>
              <w:pStyle w:val="TableContents"/>
              <w:bidi w:val="0"/>
              <w:spacing w:before="0" w:after="283"/>
              <w:jc w:val="left"/>
              <w:rPr/>
            </w:pPr>
            <w:r>
              <w:rPr/>
              <w:t>(Gain) Loss on sale of subsidiaries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(21,126</w:t>
            </w:r>
          </w:p>
        </w:tc>
        <w:tc>
          <w:tcPr>
            <w:tcW w:w="172" w:type="dxa"/>
            <w:tcBorders/>
            <w:vAlign w:val="center"/>
          </w:tcPr>
          <w:p>
            <w:pPr>
              <w:pStyle w:val="TableContents"/>
              <w:bidi w:val="0"/>
              <w:spacing w:before="0" w:after="283"/>
              <w:ind w:left="0" w:right="0" w:hanging="0"/>
              <w:jc w:val="left"/>
              <w:rPr/>
            </w:pPr>
            <w:r>
              <w:rPr/>
              <w:t>)</w:t>
            </w:r>
          </w:p>
        </w:tc>
      </w:tr>
      <w:tr>
        <w:trPr/>
        <w:tc>
          <w:tcPr>
            <w:tcW w:w="6704"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218,474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168,562</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Amortization of right of use asset</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123,972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8,421</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Amortization of discount on notes payable</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2,568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2,568</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Stock based compensation</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202,402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208,504</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Value of stock appreciation rights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(227,263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531,748</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Provision for credit losses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28,310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35,855</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Changes in assets and liabilities: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2,094,325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(926,416</w:t>
            </w:r>
          </w:p>
        </w:tc>
        <w:tc>
          <w:tcPr>
            <w:tcW w:w="172" w:type="dxa"/>
            <w:tcBorders/>
            <w:shd w:fill="CCEEFF" w:val="clear"/>
            <w:vAlign w:val="center"/>
          </w:tcPr>
          <w:p>
            <w:pPr>
              <w:pStyle w:val="TableContents"/>
              <w:bidi w:val="0"/>
              <w:spacing w:before="0" w:after="283"/>
              <w:ind w:left="0" w:right="0" w:hanging="0"/>
              <w:jc w:val="left"/>
              <w:rPr/>
            </w:pPr>
            <w:r>
              <w:rPr/>
              <w:t>)</w:t>
            </w:r>
          </w:p>
        </w:tc>
      </w:tr>
      <w:tr>
        <w:trPr/>
        <w:tc>
          <w:tcPr>
            <w:tcW w:w="6704" w:type="dxa"/>
            <w:tcBorders/>
            <w:vAlign w:val="center"/>
          </w:tcPr>
          <w:p>
            <w:pPr>
              <w:pStyle w:val="TableContents"/>
              <w:bidi w:val="0"/>
              <w:spacing w:before="0" w:after="283"/>
              <w:jc w:val="left"/>
              <w:rPr/>
            </w:pPr>
            <w:r>
              <w:rPr/>
              <w:t>Inventory and other current assets, net</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289,768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199,167</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Accounts payable and accrued liabilities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(2,473,041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(3,037,522</w:t>
            </w:r>
          </w:p>
        </w:tc>
        <w:tc>
          <w:tcPr>
            <w:tcW w:w="172" w:type="dxa"/>
            <w:tcBorders/>
            <w:shd w:fill="CCEEFF" w:val="clear"/>
            <w:vAlign w:val="center"/>
          </w:tcPr>
          <w:p>
            <w:pPr>
              <w:pStyle w:val="TableContents"/>
              <w:bidi w:val="0"/>
              <w:spacing w:before="0" w:after="283"/>
              <w:ind w:left="0" w:right="0" w:hanging="0"/>
              <w:jc w:val="left"/>
              <w:rPr/>
            </w:pPr>
            <w:r>
              <w:rPr/>
              <w:t>)</w:t>
            </w:r>
          </w:p>
        </w:tc>
      </w:tr>
      <w:tr>
        <w:trPr/>
        <w:tc>
          <w:tcPr>
            <w:tcW w:w="6704" w:type="dxa"/>
            <w:tcBorders/>
            <w:vAlign w:val="center"/>
          </w:tcPr>
          <w:p>
            <w:pPr>
              <w:pStyle w:val="TableContents"/>
              <w:bidi w:val="0"/>
              <w:spacing w:before="0" w:after="283"/>
              <w:jc w:val="left"/>
              <w:rPr/>
            </w:pPr>
            <w:r>
              <w:rPr/>
              <w:t>Accrued separation costs - related parties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(166,665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(287,911</w:t>
            </w:r>
          </w:p>
        </w:tc>
        <w:tc>
          <w:tcPr>
            <w:tcW w:w="172" w:type="dxa"/>
            <w:tcBorders/>
            <w:vAlign w:val="center"/>
          </w:tcPr>
          <w:p>
            <w:pPr>
              <w:pStyle w:val="TableContents"/>
              <w:bidi w:val="0"/>
              <w:spacing w:before="0" w:after="283"/>
              <w:ind w:left="0" w:right="0" w:hanging="0"/>
              <w:jc w:val="left"/>
              <w:rPr/>
            </w:pPr>
            <w:r>
              <w:rPr/>
              <w:t>)</w:t>
            </w:r>
          </w:p>
        </w:tc>
      </w:tr>
      <w:tr>
        <w:trPr/>
        <w:tc>
          <w:tcPr>
            <w:tcW w:w="6704" w:type="dxa"/>
            <w:tcBorders/>
            <w:shd w:fill="CCEEFF" w:val="clear"/>
            <w:vAlign w:val="center"/>
          </w:tcPr>
          <w:p>
            <w:pPr>
              <w:pStyle w:val="TableContents"/>
              <w:bidi w:val="0"/>
              <w:spacing w:before="0" w:after="283"/>
              <w:jc w:val="left"/>
              <w:rPr/>
            </w:pPr>
            <w:r>
              <w:rPr/>
              <w:t>Deferred revenue</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(3,800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128,319</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Operating lease liability</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tcMar>
              <w:bottom w:w="28" w:type="dxa"/>
            </w:tcMar>
            <w:vAlign w:val="center"/>
          </w:tcPr>
          <w:p>
            <w:pPr>
              <w:pStyle w:val="TableContents"/>
              <w:bidi w:val="0"/>
              <w:spacing w:before="0" w:after="283"/>
              <w:jc w:val="right"/>
              <w:rPr/>
            </w:pPr>
            <w:r>
              <w:rPr/>
              <w:t>(119,411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tcMar>
              <w:bottom w:w="28" w:type="dxa"/>
            </w:tcMar>
            <w:vAlign w:val="center"/>
          </w:tcPr>
          <w:p>
            <w:pPr>
              <w:pStyle w:val="TableContents"/>
              <w:bidi w:val="0"/>
              <w:spacing w:before="0" w:after="283"/>
              <w:jc w:val="right"/>
              <w:rPr/>
            </w:pPr>
            <w:r>
              <w:rPr/>
              <w:t>(8,421</w:t>
            </w:r>
          </w:p>
        </w:tc>
        <w:tc>
          <w:tcPr>
            <w:tcW w:w="172" w:type="dxa"/>
            <w:tcBorders/>
            <w:vAlign w:val="center"/>
          </w:tcPr>
          <w:p>
            <w:pPr>
              <w:pStyle w:val="TableContents"/>
              <w:bidi w:val="0"/>
              <w:spacing w:before="0" w:after="283"/>
              <w:ind w:left="0" w:right="0" w:hanging="0"/>
              <w:jc w:val="left"/>
              <w:rPr/>
            </w:pPr>
            <w:r>
              <w:rPr/>
              <w:t>)</w:t>
            </w:r>
          </w:p>
        </w:tc>
      </w:tr>
      <w:tr>
        <w:trPr/>
        <w:tc>
          <w:tcPr>
            <w:tcW w:w="6704"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CCEEFF" w:val="clear"/>
            <w:tcMar>
              <w:bottom w:w="28" w:type="dxa"/>
            </w:tcMar>
            <w:vAlign w:val="center"/>
          </w:tcPr>
          <w:p>
            <w:pPr>
              <w:pStyle w:val="TableContents"/>
              <w:bidi w:val="0"/>
              <w:spacing w:before="0" w:after="283"/>
              <w:jc w:val="right"/>
              <w:rPr/>
            </w:pPr>
            <w:r>
              <w:rPr/>
              <w:t>(402,287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CCEEFF" w:val="clear"/>
            <w:tcMar>
              <w:bottom w:w="28" w:type="dxa"/>
            </w:tcMar>
            <w:vAlign w:val="center"/>
          </w:tcPr>
          <w:p>
            <w:pPr>
              <w:pStyle w:val="TableContents"/>
              <w:bidi w:val="0"/>
              <w:spacing w:before="0" w:after="283"/>
              <w:jc w:val="right"/>
              <w:rPr/>
            </w:pPr>
            <w:r>
              <w:rPr/>
              <w:t>(3,483,218</w:t>
            </w:r>
          </w:p>
        </w:tc>
        <w:tc>
          <w:tcPr>
            <w:tcW w:w="172" w:type="dxa"/>
            <w:tcBorders/>
            <w:shd w:fill="CCEEFF" w:val="clear"/>
            <w:vAlign w:val="center"/>
          </w:tcPr>
          <w:p>
            <w:pPr>
              <w:pStyle w:val="TableContents"/>
              <w:bidi w:val="0"/>
              <w:spacing w:before="0" w:after="283"/>
              <w:ind w:left="0" w:right="0" w:hanging="0"/>
              <w:jc w:val="left"/>
              <w:rPr/>
            </w:pPr>
            <w:r>
              <w:rPr/>
              <w:t>)</w:t>
            </w:r>
          </w:p>
        </w:tc>
      </w:tr>
      <w:tr>
        <w:trPr/>
        <w:tc>
          <w:tcPr>
            <w:tcW w:w="6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Acquisition of property and equipment</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(208,886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(15,857</w:t>
            </w:r>
          </w:p>
        </w:tc>
        <w:tc>
          <w:tcPr>
            <w:tcW w:w="172" w:type="dxa"/>
            <w:tcBorders/>
            <w:vAlign w:val="center"/>
          </w:tcPr>
          <w:p>
            <w:pPr>
              <w:pStyle w:val="TableContents"/>
              <w:bidi w:val="0"/>
              <w:spacing w:before="0" w:after="283"/>
              <w:ind w:left="0" w:right="0" w:hanging="0"/>
              <w:jc w:val="left"/>
              <w:rPr/>
            </w:pPr>
            <w:r>
              <w:rPr/>
              <w:t>)</w:t>
            </w:r>
          </w:p>
        </w:tc>
      </w:tr>
      <w:tr>
        <w:trPr/>
        <w:tc>
          <w:tcPr>
            <w:tcW w:w="6704" w:type="dxa"/>
            <w:tcBorders/>
            <w:shd w:fill="CCEEFF" w:val="clear"/>
            <w:vAlign w:val="center"/>
          </w:tcPr>
          <w:p>
            <w:pPr>
              <w:pStyle w:val="TableContents"/>
              <w:bidi w:val="0"/>
              <w:spacing w:before="0" w:after="283"/>
              <w:jc w:val="left"/>
              <w:rPr/>
            </w:pPr>
            <w:r>
              <w:rPr/>
              <w:t>Cash received from disposition of asset, net of loan payoff</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CCEEFF" w:val="clear"/>
            <w:tcMar>
              <w:bottom w:w="28" w:type="dxa"/>
            </w:tcMar>
            <w:vAlign w:val="center"/>
          </w:tcPr>
          <w:p>
            <w:pPr>
              <w:pStyle w:val="TableContents"/>
              <w:bidi w:val="0"/>
              <w:spacing w:before="0" w:after="283"/>
              <w:jc w:val="right"/>
              <w:rPr/>
            </w:pPr>
            <w:r>
              <w:rPr/>
              <w:t>2,101,185</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Net cash provided by (used in) investing activities</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tcMar>
              <w:bottom w:w="28" w:type="dxa"/>
            </w:tcMar>
            <w:vAlign w:val="center"/>
          </w:tcPr>
          <w:p>
            <w:pPr>
              <w:pStyle w:val="TableContents"/>
              <w:bidi w:val="0"/>
              <w:spacing w:before="0" w:after="283"/>
              <w:jc w:val="right"/>
              <w:rPr/>
            </w:pPr>
            <w:r>
              <w:rPr/>
              <w:t>(208,886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tcMar>
              <w:bottom w:w="28" w:type="dxa"/>
            </w:tcMar>
            <w:vAlign w:val="center"/>
          </w:tcPr>
          <w:p>
            <w:pPr>
              <w:pStyle w:val="TableContents"/>
              <w:bidi w:val="0"/>
              <w:spacing w:before="0" w:after="283"/>
              <w:jc w:val="right"/>
              <w:rPr/>
            </w:pPr>
            <w:r>
              <w:rPr/>
              <w:t>2,085,328</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Cash flows from financing activities: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Principal payments on debt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(88,654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(43,548</w:t>
            </w:r>
          </w:p>
        </w:tc>
        <w:tc>
          <w:tcPr>
            <w:tcW w:w="172" w:type="dxa"/>
            <w:tcBorders/>
            <w:shd w:fill="CCEEFF" w:val="clear"/>
            <w:vAlign w:val="center"/>
          </w:tcPr>
          <w:p>
            <w:pPr>
              <w:pStyle w:val="TableContents"/>
              <w:bidi w:val="0"/>
              <w:spacing w:before="0" w:after="283"/>
              <w:ind w:left="0" w:right="0" w:hanging="0"/>
              <w:jc w:val="left"/>
              <w:rPr/>
            </w:pPr>
            <w:r>
              <w:rPr/>
              <w:t>)</w:t>
            </w:r>
          </w:p>
        </w:tc>
      </w:tr>
      <w:tr>
        <w:trPr/>
        <w:tc>
          <w:tcPr>
            <w:tcW w:w="6704" w:type="dxa"/>
            <w:tcBorders/>
            <w:vAlign w:val="center"/>
          </w:tcPr>
          <w:p>
            <w:pPr>
              <w:pStyle w:val="TableContents"/>
              <w:bidi w:val="0"/>
              <w:spacing w:before="0" w:after="283"/>
              <w:jc w:val="left"/>
              <w:rPr/>
            </w:pPr>
            <w:r>
              <w:rPr/>
              <w:t>Principal payments financing leases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(126,813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(94,841</w:t>
            </w:r>
          </w:p>
        </w:tc>
        <w:tc>
          <w:tcPr>
            <w:tcW w:w="172" w:type="dxa"/>
            <w:tcBorders/>
            <w:vAlign w:val="center"/>
          </w:tcPr>
          <w:p>
            <w:pPr>
              <w:pStyle w:val="TableContents"/>
              <w:bidi w:val="0"/>
              <w:spacing w:before="0" w:after="283"/>
              <w:ind w:left="0" w:right="0" w:hanging="0"/>
              <w:jc w:val="left"/>
              <w:rPr/>
            </w:pPr>
            <w:r>
              <w:rPr/>
              <w:t>)</w:t>
            </w:r>
          </w:p>
        </w:tc>
      </w:tr>
      <w:tr>
        <w:trPr/>
        <w:tc>
          <w:tcPr>
            <w:tcW w:w="6704" w:type="dxa"/>
            <w:tcBorders/>
            <w:shd w:fill="CCEEFF" w:val="clear"/>
            <w:vAlign w:val="center"/>
          </w:tcPr>
          <w:p>
            <w:pPr>
              <w:pStyle w:val="TableContents"/>
              <w:bidi w:val="0"/>
              <w:spacing w:before="0" w:after="283"/>
              <w:jc w:val="left"/>
              <w:rPr/>
            </w:pPr>
            <w:r>
              <w:rPr/>
              <w:t>Cash received from line of credit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500,000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Principal payments on line of credit</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tcMar>
              <w:bottom w:w="28" w:type="dxa"/>
            </w:tcMar>
            <w:vAlign w:val="center"/>
          </w:tcPr>
          <w:p>
            <w:pPr>
              <w:pStyle w:val="TableContents"/>
              <w:bidi w:val="0"/>
              <w:spacing w:before="0" w:after="283"/>
              <w:jc w:val="right"/>
              <w:rPr/>
            </w:pPr>
            <w:r>
              <w:rPr/>
              <w:t>(500,000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tcMar>
              <w:bottom w:w="28" w:type="dxa"/>
            </w:tcMar>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Net cash used in financing activities</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CCEEFF" w:val="clear"/>
            <w:tcMar>
              <w:bottom w:w="28" w:type="dxa"/>
            </w:tcMar>
            <w:vAlign w:val="center"/>
          </w:tcPr>
          <w:p>
            <w:pPr>
              <w:pStyle w:val="TableContents"/>
              <w:bidi w:val="0"/>
              <w:spacing w:before="0" w:after="283"/>
              <w:jc w:val="right"/>
              <w:rPr/>
            </w:pPr>
            <w:r>
              <w:rPr/>
              <w:t>(215,467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CCEEFF" w:val="clear"/>
            <w:tcMar>
              <w:bottom w:w="28" w:type="dxa"/>
            </w:tcMar>
            <w:vAlign w:val="center"/>
          </w:tcPr>
          <w:p>
            <w:pPr>
              <w:pStyle w:val="TableContents"/>
              <w:bidi w:val="0"/>
              <w:spacing w:before="0" w:after="283"/>
              <w:jc w:val="right"/>
              <w:rPr/>
            </w:pPr>
            <w:r>
              <w:rPr/>
              <w:t>(138,389</w:t>
            </w:r>
          </w:p>
        </w:tc>
        <w:tc>
          <w:tcPr>
            <w:tcW w:w="172" w:type="dxa"/>
            <w:tcBorders/>
            <w:shd w:fill="CCEEFF" w:val="clear"/>
            <w:vAlign w:val="center"/>
          </w:tcPr>
          <w:p>
            <w:pPr>
              <w:pStyle w:val="TableContents"/>
              <w:bidi w:val="0"/>
              <w:spacing w:before="0" w:after="283"/>
              <w:ind w:left="0" w:right="0" w:hanging="0"/>
              <w:jc w:val="left"/>
              <w:rPr/>
            </w:pPr>
            <w:r>
              <w:rPr/>
              <w:t>)</w:t>
            </w:r>
          </w:p>
        </w:tc>
      </w:tr>
      <w:tr>
        <w:trPr/>
        <w:tc>
          <w:tcPr>
            <w:tcW w:w="6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Decrease in cash and cash equivalents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(826,640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(1,536,279</w:t>
            </w:r>
          </w:p>
        </w:tc>
        <w:tc>
          <w:tcPr>
            <w:tcW w:w="172" w:type="dxa"/>
            <w:tcBorders/>
            <w:shd w:fill="CCEEFF" w:val="clear"/>
            <w:vAlign w:val="center"/>
          </w:tcPr>
          <w:p>
            <w:pPr>
              <w:pStyle w:val="TableContents"/>
              <w:bidi w:val="0"/>
              <w:spacing w:before="0" w:after="283"/>
              <w:ind w:left="0" w:right="0" w:hanging="0"/>
              <w:jc w:val="left"/>
              <w:rPr/>
            </w:pPr>
            <w:r>
              <w:rPr/>
              <w:t>)</w:t>
            </w:r>
          </w:p>
        </w:tc>
      </w:tr>
      <w:tr>
        <w:trPr/>
        <w:tc>
          <w:tcPr>
            <w:tcW w:w="6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Cash and cash equivalents at beginning of period</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CCEEFF" w:val="clear"/>
            <w:tcMar>
              <w:bottom w:w="28" w:type="dxa"/>
            </w:tcMar>
            <w:vAlign w:val="center"/>
          </w:tcPr>
          <w:p>
            <w:pPr>
              <w:pStyle w:val="TableContents"/>
              <w:bidi w:val="0"/>
              <w:spacing w:before="0" w:after="283"/>
              <w:jc w:val="right"/>
              <w:rPr/>
            </w:pPr>
            <w:r>
              <w:rPr/>
              <w:t>2,380,195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CCEEFF" w:val="clear"/>
            <w:tcMar>
              <w:bottom w:w="28" w:type="dxa"/>
            </w:tcMar>
            <w:vAlign w:val="center"/>
          </w:tcPr>
          <w:p>
            <w:pPr>
              <w:pStyle w:val="TableContents"/>
              <w:bidi w:val="0"/>
              <w:spacing w:before="0" w:after="283"/>
              <w:jc w:val="right"/>
              <w:rPr/>
            </w:pPr>
            <w:r>
              <w:rPr/>
              <w:t>5,422,335</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Cash and cash equivalents at end of period - continuing operations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1,553,555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3,767,097</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Cash and cash equivalents at end of period - discontinued operations</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w:t>
            </w:r>
          </w:p>
        </w:tc>
        <w:tc>
          <w:tcPr>
            <w:tcW w:w="1308"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bottom w:val="single" w:sz="8" w:space="0" w:color="000000"/>
            </w:tcBorders>
            <w:tcMar>
              <w:bottom w:w="28" w:type="dxa"/>
            </w:tcMar>
            <w:vAlign w:val="center"/>
          </w:tcPr>
          <w:p>
            <w:pPr>
              <w:pStyle w:val="TableContents"/>
              <w:bidi w:val="0"/>
              <w:spacing w:before="0" w:after="283"/>
              <w:jc w:val="left"/>
              <w:rPr/>
            </w:pPr>
            <w:r>
              <w:rPr/>
              <w:t>$</w:t>
            </w:r>
          </w:p>
        </w:tc>
        <w:tc>
          <w:tcPr>
            <w:tcW w:w="1308" w:type="dxa"/>
            <w:tcBorders>
              <w:bottom w:val="single" w:sz="8" w:space="0" w:color="000000"/>
            </w:tcBorders>
            <w:tcMar>
              <w:bottom w:w="28" w:type="dxa"/>
            </w:tcMar>
            <w:vAlign w:val="center"/>
          </w:tcPr>
          <w:p>
            <w:pPr>
              <w:pStyle w:val="TableContents"/>
              <w:bidi w:val="0"/>
              <w:spacing w:before="0" w:after="283"/>
              <w:jc w:val="right"/>
              <w:rPr/>
            </w:pPr>
            <w:r>
              <w:rPr/>
              <w:t>118,959</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Cash and cash equivalents at end of period</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1,553,555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3,886,056</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Supplemental disclosure of cash flow information:</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Cash paid during the period for:</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Interest</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409,271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456,062</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Taxes</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Non-cash investing and financing activities: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Reclassify fixed assets as held for sale</w:t>
            </w:r>
          </w:p>
        </w:tc>
        <w:tc>
          <w:tcPr>
            <w:tcW w:w="90" w:type="dxa"/>
            <w:tcBorders/>
            <w:vAlign w:val="center"/>
          </w:tcPr>
          <w:p>
            <w:pPr>
              <w:pStyle w:val="TableContents"/>
              <w:bidi w:val="0"/>
              <w:spacing w:before="0" w:after="283"/>
              <w:jc w:val="left"/>
              <w:rPr/>
            </w:pPr>
            <w:r>
              <w:rPr/>
              <w:t> </w:t>
            </w:r>
          </w:p>
        </w:tc>
        <w:tc>
          <w:tcPr>
            <w:tcW w:w="204" w:type="dxa"/>
            <w:tcBorders>
              <w:bottom w:val="double" w:sz="6" w:space="0" w:color="000000"/>
            </w:tcBorders>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bottom w:val="double" w:sz="6" w:space="0" w:color="000000"/>
            </w:tcBorders>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tcMar>
              <w:bottom w:w="28" w:type="dxa"/>
            </w:tcMar>
            <w:vAlign w:val="center"/>
          </w:tcPr>
          <w:p>
            <w:pPr>
              <w:pStyle w:val="TableContents"/>
              <w:bidi w:val="0"/>
              <w:spacing w:before="0" w:after="283"/>
              <w:jc w:val="right"/>
              <w:rPr/>
            </w:pPr>
            <w:r>
              <w:rPr/>
              <w:t>5,941,933</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Principal and accrued interest paid from escrow to Maple Mark Bank</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353,815</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Issuance of common stock under compensation plans</w:t>
            </w:r>
          </w:p>
        </w:tc>
        <w:tc>
          <w:tcPr>
            <w:tcW w:w="90" w:type="dxa"/>
            <w:tcBorders/>
            <w:vAlign w:val="center"/>
          </w:tcPr>
          <w:p>
            <w:pPr>
              <w:pStyle w:val="TableContents"/>
              <w:bidi w:val="0"/>
              <w:spacing w:before="0" w:after="283"/>
              <w:jc w:val="left"/>
              <w:rPr/>
            </w:pPr>
            <w:r>
              <w:rPr/>
              <w:t> </w:t>
            </w:r>
          </w:p>
        </w:tc>
        <w:tc>
          <w:tcPr>
            <w:tcW w:w="204" w:type="dxa"/>
            <w:tcBorders>
              <w:bottom w:val="double" w:sz="6" w:space="0" w:color="000000"/>
            </w:tcBorders>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tcMar>
              <w:bottom w:w="28" w:type="dxa"/>
            </w:tcMar>
            <w:vAlign w:val="center"/>
          </w:tcPr>
          <w:p>
            <w:pPr>
              <w:pStyle w:val="TableContents"/>
              <w:bidi w:val="0"/>
              <w:spacing w:before="0" w:after="283"/>
              <w:jc w:val="right"/>
              <w:rPr/>
            </w:pPr>
            <w:r>
              <w:rPr/>
              <w:t>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bottom w:val="double" w:sz="6" w:space="0" w:color="000000"/>
            </w:tcBorders>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tcMar>
              <w:bottom w:w="28" w:type="dxa"/>
            </w:tcMar>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Issuance of common stock from common stock to be issued</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ind w:left="0" w:right="0" w:hanging="0"/>
              <w:jc w:val="left"/>
              <w:rPr/>
            </w:pPr>
            <w:r>
              <w:rPr/>
              <w:t> </w:t>
            </w:r>
          </w:p>
        </w:tc>
      </w:tr>
      <w:tr>
        <w:trPr/>
        <w:tc>
          <w:tcPr>
            <w:tcW w:w="6704" w:type="dxa"/>
            <w:tcBorders/>
            <w:vAlign w:val="center"/>
          </w:tcPr>
          <w:p>
            <w:pPr>
              <w:pStyle w:val="TableContents"/>
              <w:bidi w:val="0"/>
              <w:spacing w:before="0" w:after="283"/>
              <w:jc w:val="left"/>
              <w:rPr/>
            </w:pPr>
            <w:r>
              <w:rPr/>
              <w:t>Issuance of stock for cashless exercise of options</w:t>
            </w:r>
          </w:p>
        </w:tc>
        <w:tc>
          <w:tcPr>
            <w:tcW w:w="90" w:type="dxa"/>
            <w:tcBorders/>
            <w:vAlign w:val="center"/>
          </w:tcPr>
          <w:p>
            <w:pPr>
              <w:pStyle w:val="TableContents"/>
              <w:bidi w:val="0"/>
              <w:spacing w:before="0" w:after="283"/>
              <w:jc w:val="left"/>
              <w:rPr/>
            </w:pPr>
            <w:r>
              <w:rPr/>
              <w:t> </w:t>
            </w:r>
          </w:p>
        </w:tc>
        <w:tc>
          <w:tcPr>
            <w:tcW w:w="204" w:type="dxa"/>
            <w:tcBorders>
              <w:bottom w:val="double" w:sz="6" w:space="0" w:color="000000"/>
            </w:tcBorders>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tcMar>
              <w:bottom w:w="28" w:type="dxa"/>
            </w:tcMar>
            <w:vAlign w:val="center"/>
          </w:tcPr>
          <w:p>
            <w:pPr>
              <w:pStyle w:val="TableContents"/>
              <w:bidi w:val="0"/>
              <w:spacing w:before="0" w:after="283"/>
              <w:jc w:val="right"/>
              <w:rPr/>
            </w:pPr>
            <w:r>
              <w:rPr/>
              <w:t>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bottom w:val="double" w:sz="6" w:space="0" w:color="000000"/>
            </w:tcBorders>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tcMar>
              <w:bottom w:w="28" w:type="dxa"/>
            </w:tcMar>
            <w:vAlign w:val="center"/>
          </w:tcPr>
          <w:p>
            <w:pPr>
              <w:pStyle w:val="TableContents"/>
              <w:bidi w:val="0"/>
              <w:spacing w:before="0" w:after="283"/>
              <w:jc w:val="right"/>
              <w:rPr/>
            </w:pPr>
            <w:r>
              <w:rPr/>
              <w:t>2</w:t>
            </w:r>
          </w:p>
        </w:tc>
        <w:tc>
          <w:tcPr>
            <w:tcW w:w="172" w:type="dxa"/>
            <w:tcBorders/>
            <w:vAlign w:val="center"/>
          </w:tcPr>
          <w:p>
            <w:pPr>
              <w:pStyle w:val="TableContents"/>
              <w:bidi w:val="0"/>
              <w:spacing w:before="0" w:after="283"/>
              <w:ind w:left="0" w:right="0" w:hanging="0"/>
              <w:jc w:val="left"/>
              <w:rPr/>
            </w:pPr>
            <w:r>
              <w:rPr/>
              <w:t> </w:t>
            </w:r>
          </w:p>
        </w:tc>
      </w:tr>
      <w:tr>
        <w:trPr/>
        <w:tc>
          <w:tcPr>
            <w:tcW w:w="6704" w:type="dxa"/>
            <w:tcBorders/>
            <w:shd w:fill="CCEEFF" w:val="clear"/>
            <w:vAlign w:val="center"/>
          </w:tcPr>
          <w:p>
            <w:pPr>
              <w:pStyle w:val="TableContents"/>
              <w:bidi w:val="0"/>
              <w:spacing w:before="0" w:after="283"/>
              <w:jc w:val="left"/>
              <w:rPr/>
            </w:pPr>
            <w:r>
              <w:rPr/>
              <w:t>Capitalized interest on financing lease</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1,130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condensed notes to these unaudited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INNOVATIVE FOOD HOLDINGS, INC.</w:t>
      </w:r>
    </w:p>
    <w:p>
      <w:pPr>
        <w:pStyle w:val="TextBody"/>
        <w:bidi w:val="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CONDENSED NOTES TO THE CONSOLIDATED FINANCIAL STATEMENTS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ACTIVITIES AND SIGNIFICANT ACCOUNTING POLICIES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consolidated financial statements include those of Innovative Food Holdings, Inc. and all of its wholly-owned subsidiaries (collectively, “we,” “our,” “us” or the “Company”) and have been prepared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2024. In the opinion of management, the interim unaudited consolidated financial statements reflect all adjustments, including normal recurring adjustments, necessary for fair presentation of the interim periods presented. The results of the operations for the three and six months ended June 30, 2025 are not necessarily indicative of the results of operations to be expected for the full year.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Business Activity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difficult-to-find specialty foods primarily to both Professional Chefs through our relationships with producers, growers, makers and distributors of these products worldwide. The distribution of these products primarily originates from our two warehouses and those of our drop ship partners, and is driven by our proprietary technology platform. In addition, we provide value-added services through our team of food specialists and Chef Advisors who offer customer support, menu ideas, and preparation guidance.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Restructuring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2023, we made the decision to focus more on our Business to Business (B2B) activities and less on our Direct to Consumer (“D2C”) products. Our subsidiaries GROW and Oasis were sold effective December 29, 2023; Haley Food Group, Inc. (“Haley”) was sold effective February 26, 2024; and the igourmet platform and its D2C components were sold effective August 6, 2024. We continue to operate the B2B component, which remains part of our continuing operations. On October 8, 2024, we sold substantially all of the assets of Mouth. The activities of P Innovations (“Plantbelly”) were abandoned. See Note 2.</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Discontinued Operations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guidance of Accounts Standards Codification (“ASC”) 205-20, </w:t>
      </w:r>
      <w:r>
        <w:rPr>
          <w:rFonts w:ascii="Times New Roman;Times;Serif" w:hAnsi="Times New Roman;Times;Serif"/>
          <w:b w:val="false"/>
          <w:i/>
          <w:caps w:val="false"/>
          <w:smallCaps w:val="false"/>
          <w:sz w:val="20"/>
        </w:rPr>
        <w:t xml:space="preserve">Presentation of Financial Statements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Discontinued Operations,</w:t>
      </w:r>
      <w:r>
        <w:rPr>
          <w:rFonts w:ascii="Times New Roman;Times;Serif" w:hAnsi="Times New Roman;Times;Serif"/>
          <w:b w:val="false"/>
          <w:i w:val="false"/>
          <w:caps w:val="false"/>
          <w:smallCaps w:val="false"/>
          <w:sz w:val="20"/>
        </w:rPr>
        <w:t xml:space="preserve"> the accounts of our discontinued entities GROW, Oasis, Haley, Plantbelly, and Mouth have been included in “Net loss from discontinued operations” in our consolidated statements of operations. Additionally, the assets and liabilities of these entities have been presented as discontinued operations in our consolidated balance sheets. On December 29, 2023, the Company completed the sales of its Grow and Oasis subsidiaries; on February 26, 2024, the Company completed the sale of its Haley subsidiary (see Note 4); and on October 8, 2024, the Company completed the sale of substantially all of the assets of Mouth. In addition, the operations of Plantbelly have been abandoned. The only remaining discontinued operations on the Company’s balance sheet at December 31, 2024 is cash in the amount of $49,315 held by Mouth. See Note 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Reclassifications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presented in the financial statements of the prior period have been reclassified to conform with the current period presentation of discontinued operations. See Note 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these unaudited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allowances for doubtful accounts, allowances for slow moving &amp; obsolete inventory, income taxes, intangible assets,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Concentrations of Credit Risk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As of June 30, 2025 and December 31, 2024, the Company’s largest customer, U.S. Foods, Inc. and its affiliates, accounted for approximately 17% and 10% of accounts receivable, respectively; Sam’s Club, represented 14% and 34% of accounts receivable, respectively; and Gate Gourmet, the leading global provider of airline catering solutions and provisioning services for airlines, represented 27% and 15% of accounts receivable,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balances in excess of Federal Deposit Insurance Corporation limits. At June 30, 2025 and December 31, 2024, the total cash in excess of these limits was $190,229 and $1,016,918, respectively.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provides an allowance for credit losses equal to the estimated uncollectible amounts pursuant to the guidance of Accounting Standards Update (“ASU”) 2016-13, </w:t>
      </w:r>
      <w:r>
        <w:rPr>
          <w:rFonts w:ascii="Times New Roman;Times;Serif" w:hAnsi="Times New Roman;Times;Serif"/>
          <w:b w:val="false"/>
          <w:i/>
          <w:caps w:val="false"/>
          <w:smallCaps w:val="false"/>
          <w:sz w:val="20"/>
        </w:rPr>
        <w:t xml:space="preserve">Financial Instruments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Credit Losses</w:t>
      </w:r>
      <w:r>
        <w:rPr>
          <w:rFonts w:ascii="Times New Roman;Times;Serif" w:hAnsi="Times New Roman;Times;Serif"/>
          <w:b w:val="false"/>
          <w:i w:val="false"/>
          <w:caps w:val="false"/>
          <w:smallCaps w:val="false"/>
          <w:sz w:val="20"/>
        </w:rPr>
        <w:t xml:space="preserve"> (Topic 326) as codified in ASC 326, </w:t>
      </w:r>
      <w:r>
        <w:rPr>
          <w:rFonts w:ascii="Times New Roman;Times;Serif" w:hAnsi="Times New Roman;Times;Serif"/>
          <w:b w:val="false"/>
          <w:i/>
          <w:caps w:val="false"/>
          <w:smallCaps w:val="false"/>
          <w:sz w:val="20"/>
        </w:rPr>
        <w:t xml:space="preserve">Financial Instruments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Credit Losses</w:t>
      </w:r>
      <w:r>
        <w:rPr>
          <w:rFonts w:ascii="Times New Roman;Times;Serif" w:hAnsi="Times New Roman;Times;Serif"/>
          <w:b w:val="false"/>
          <w:i w:val="false"/>
          <w:caps w:val="false"/>
          <w:smallCaps w:val="false"/>
          <w:sz w:val="20"/>
        </w:rPr>
        <w:t>. Under ASC 326, the Company utilizes a current and expected credit loss (CECL) impairment model. ASU 2016-13 became effective for us on January 1, 2023.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$40,002 at June 30, 2025 and December 31, 2024.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valued at the lower of cost or market and is determined by the first-in, first-out method. The Company adjusts inventory based upon bi-weekly cycle counts and upon the expiration date of food products. In addition, the Company records an allowance for obsolete or slow moving inventory based upon historical loss history and management’s judgment.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Leases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in accordance with Financial Accounting Standards Board (“FASB”)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revenue from product sales (i.e., specialty foodservice and e-commerce), the Company recognizes revenue in accordance with FASB ASC Topic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 and logistics services revenues are primarily comprised of inventory management, order fulfilment and warehousing services. Warehouse and logistics services revenues are recognized at the point in time when the services are rendered to the customer.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Deferred 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relates to a long-term lease agreement under which the Company received a one-time upfront payment associated with the installation of a telecommunications tower on a building owned by the Company. This lease has a 50-year term, and revenue is being recognized on a straight-line basis over the life of the lease.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changes in deferred revenue as reported on the Company’s consolidated balance sheets:</w:t>
      </w:r>
    </w:p>
    <w:p>
      <w:pPr>
        <w:pStyle w:val="TextBody"/>
        <w:bidi w:val="0"/>
        <w:jc w:val="left"/>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4055"/>
        <w:gridCol w:w="90"/>
        <w:gridCol w:w="170"/>
        <w:gridCol w:w="830"/>
        <w:gridCol w:w="170"/>
      </w:tblGrid>
      <w:tr>
        <w:trPr/>
        <w:tc>
          <w:tcPr>
            <w:tcW w:w="4055" w:type="dxa"/>
            <w:tcBorders/>
            <w:shd w:fill="CCEEFF" w:val="clear"/>
            <w:vAlign w:val="center"/>
          </w:tcPr>
          <w:p>
            <w:pPr>
              <w:pStyle w:val="TableContents"/>
              <w:bidi w:val="0"/>
              <w:spacing w:before="0" w:after="283"/>
              <w:ind w:left="0" w:right="0" w:hanging="0"/>
              <w:jc w:val="left"/>
              <w:rPr/>
            </w:pPr>
            <w:r>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357,200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55" w:type="dxa"/>
            <w:tcBorders/>
            <w:vAlign w:val="center"/>
          </w:tcPr>
          <w:p>
            <w:pPr>
              <w:pStyle w:val="TableContents"/>
              <w:bidi w:val="0"/>
              <w:spacing w:before="0" w:after="283"/>
              <w:jc w:val="left"/>
              <w:rPr/>
            </w:pPr>
            <w:r>
              <w:rPr/>
              <w:t>Cash payments received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0"/>
              <w:jc w:val="left"/>
              <w:rPr/>
            </w:pPr>
            <w:r>
              <w:rPr/>
              <w:t> </w:t>
            </w:r>
          </w:p>
        </w:tc>
      </w:tr>
      <w:tr>
        <w:trPr/>
        <w:tc>
          <w:tcPr>
            <w:tcW w:w="4055" w:type="dxa"/>
            <w:tcBorders/>
            <w:shd w:fill="CCEEFF" w:val="clear"/>
            <w:vAlign w:val="center"/>
          </w:tcPr>
          <w:p>
            <w:pPr>
              <w:pStyle w:val="TableContents"/>
              <w:bidi w:val="0"/>
              <w:spacing w:before="0" w:after="283"/>
              <w:jc w:val="left"/>
              <w:rPr/>
            </w:pPr>
            <w:r>
              <w:rPr/>
              <w:t>Net leasing income recognized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(1,900</w:t>
            </w:r>
          </w:p>
        </w:tc>
        <w:tc>
          <w:tcPr>
            <w:tcW w:w="170" w:type="dxa"/>
            <w:tcBorders/>
            <w:shd w:fill="CCEEFF" w:val="clear"/>
            <w:vAlign w:val="center"/>
          </w:tcPr>
          <w:p>
            <w:pPr>
              <w:pStyle w:val="TableContents"/>
              <w:bidi w:val="0"/>
              <w:spacing w:before="0" w:after="283"/>
              <w:ind w:left="0" w:right="0" w:hanging="0"/>
              <w:jc w:val="left"/>
              <w:rPr/>
            </w:pPr>
            <w:r>
              <w:rPr/>
              <w:t>)</w:t>
            </w:r>
          </w:p>
        </w:tc>
      </w:tr>
      <w:tr>
        <w:trPr/>
        <w:tc>
          <w:tcPr>
            <w:tcW w:w="4055" w:type="dxa"/>
            <w:tcBorders/>
            <w:vAlign w:val="center"/>
          </w:tcPr>
          <w:p>
            <w:pPr>
              <w:pStyle w:val="TableContents"/>
              <w:bidi w:val="0"/>
              <w:spacing w:before="0" w:after="283"/>
              <w:jc w:val="left"/>
              <w:rPr/>
            </w:pPr>
            <w:r>
              <w:rPr/>
              <w:t>Balance as of March 31, 2024 (unaudited)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355,300</w:t>
            </w:r>
          </w:p>
        </w:tc>
        <w:tc>
          <w:tcPr>
            <w:tcW w:w="170" w:type="dxa"/>
            <w:tcBorders/>
            <w:vAlign w:val="center"/>
          </w:tcPr>
          <w:p>
            <w:pPr>
              <w:pStyle w:val="TableContents"/>
              <w:bidi w:val="0"/>
              <w:spacing w:before="0" w:after="283"/>
              <w:ind w:left="0" w:right="0" w:hanging="0"/>
              <w:jc w:val="left"/>
              <w:rPr/>
            </w:pPr>
            <w:r>
              <w:rPr/>
              <w:t> </w:t>
            </w:r>
          </w:p>
        </w:tc>
      </w:tr>
      <w:tr>
        <w:trPr/>
        <w:tc>
          <w:tcPr>
            <w:tcW w:w="4055" w:type="dxa"/>
            <w:tcBorders/>
            <w:shd w:fill="CCEEFF" w:val="clear"/>
            <w:vAlign w:val="center"/>
          </w:tcPr>
          <w:p>
            <w:pPr>
              <w:pStyle w:val="TableContents"/>
              <w:bidi w:val="0"/>
              <w:spacing w:before="0" w:after="283"/>
              <w:jc w:val="left"/>
              <w:rPr/>
            </w:pPr>
            <w:r>
              <w:rPr/>
              <w:t>Cash payments received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55" w:type="dxa"/>
            <w:tcBorders/>
            <w:vAlign w:val="center"/>
          </w:tcPr>
          <w:p>
            <w:pPr>
              <w:pStyle w:val="TableContents"/>
              <w:bidi w:val="0"/>
              <w:spacing w:before="0" w:after="283"/>
              <w:jc w:val="left"/>
              <w:rPr/>
            </w:pPr>
            <w:r>
              <w:rPr/>
              <w:t>Net leasing income recognized</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(1,900</w:t>
            </w:r>
          </w:p>
        </w:tc>
        <w:tc>
          <w:tcPr>
            <w:tcW w:w="170" w:type="dxa"/>
            <w:tcBorders/>
            <w:vAlign w:val="center"/>
          </w:tcPr>
          <w:p>
            <w:pPr>
              <w:pStyle w:val="TableContents"/>
              <w:bidi w:val="0"/>
              <w:spacing w:before="0" w:after="283"/>
              <w:ind w:left="0" w:right="0" w:hanging="0"/>
              <w:jc w:val="left"/>
              <w:rPr/>
            </w:pPr>
            <w:r>
              <w:rPr/>
              <w:t>)</w:t>
            </w:r>
          </w:p>
        </w:tc>
      </w:tr>
      <w:tr>
        <w:trPr/>
        <w:tc>
          <w:tcPr>
            <w:tcW w:w="4055" w:type="dxa"/>
            <w:tcBorders/>
            <w:shd w:fill="CCEEFF" w:val="clear"/>
            <w:vAlign w:val="center"/>
          </w:tcPr>
          <w:p>
            <w:pPr>
              <w:pStyle w:val="TableContents"/>
              <w:bidi w:val="0"/>
              <w:spacing w:before="0" w:after="283"/>
              <w:jc w:val="left"/>
              <w:rPr/>
            </w:pPr>
            <w:r>
              <w:rPr/>
              <w:t>Balance as of June 30, 2024 (unaudited)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353,400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4055"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349,600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55" w:type="dxa"/>
            <w:tcBorders/>
            <w:vAlign w:val="center"/>
          </w:tcPr>
          <w:p>
            <w:pPr>
              <w:pStyle w:val="TableContents"/>
              <w:bidi w:val="0"/>
              <w:spacing w:before="0" w:after="283"/>
              <w:jc w:val="left"/>
              <w:rPr/>
            </w:pPr>
            <w:r>
              <w:rPr/>
              <w:t>Cash payments received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0"/>
              <w:jc w:val="left"/>
              <w:rPr/>
            </w:pPr>
            <w:r>
              <w:rPr/>
              <w:t> </w:t>
            </w:r>
          </w:p>
        </w:tc>
      </w:tr>
      <w:tr>
        <w:trPr/>
        <w:tc>
          <w:tcPr>
            <w:tcW w:w="4055" w:type="dxa"/>
            <w:tcBorders/>
            <w:shd w:fill="CCEEFF" w:val="clear"/>
            <w:vAlign w:val="center"/>
          </w:tcPr>
          <w:p>
            <w:pPr>
              <w:pStyle w:val="TableContents"/>
              <w:bidi w:val="0"/>
              <w:spacing w:before="0" w:after="283"/>
              <w:jc w:val="left"/>
              <w:rPr/>
            </w:pPr>
            <w:r>
              <w:rPr/>
              <w:t>Net leasing income recognized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(1,900</w:t>
            </w:r>
          </w:p>
        </w:tc>
        <w:tc>
          <w:tcPr>
            <w:tcW w:w="170" w:type="dxa"/>
            <w:tcBorders/>
            <w:shd w:fill="CCEEFF" w:val="clear"/>
            <w:vAlign w:val="center"/>
          </w:tcPr>
          <w:p>
            <w:pPr>
              <w:pStyle w:val="TableContents"/>
              <w:bidi w:val="0"/>
              <w:spacing w:before="0" w:after="283"/>
              <w:ind w:left="0" w:right="0" w:hanging="0"/>
              <w:jc w:val="left"/>
              <w:rPr/>
            </w:pPr>
            <w:r>
              <w:rPr/>
              <w:t>)</w:t>
            </w:r>
          </w:p>
        </w:tc>
      </w:tr>
      <w:tr>
        <w:trPr/>
        <w:tc>
          <w:tcPr>
            <w:tcW w:w="4055" w:type="dxa"/>
            <w:tcBorders/>
            <w:vAlign w:val="center"/>
          </w:tcPr>
          <w:p>
            <w:pPr>
              <w:pStyle w:val="TableContents"/>
              <w:bidi w:val="0"/>
              <w:spacing w:before="0" w:after="283"/>
              <w:jc w:val="left"/>
              <w:rPr/>
            </w:pPr>
            <w:r>
              <w:rPr/>
              <w:t>Balance as of March 31, 2025 (unaudited)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347,700</w:t>
            </w:r>
          </w:p>
        </w:tc>
        <w:tc>
          <w:tcPr>
            <w:tcW w:w="170" w:type="dxa"/>
            <w:tcBorders/>
            <w:vAlign w:val="center"/>
          </w:tcPr>
          <w:p>
            <w:pPr>
              <w:pStyle w:val="TableContents"/>
              <w:bidi w:val="0"/>
              <w:spacing w:before="0" w:after="283"/>
              <w:ind w:left="0" w:right="0" w:hanging="0"/>
              <w:jc w:val="left"/>
              <w:rPr/>
            </w:pPr>
            <w:r>
              <w:rPr/>
              <w:t> </w:t>
            </w:r>
          </w:p>
        </w:tc>
      </w:tr>
      <w:tr>
        <w:trPr/>
        <w:tc>
          <w:tcPr>
            <w:tcW w:w="4055" w:type="dxa"/>
            <w:tcBorders/>
            <w:shd w:fill="CCEEFF" w:val="clear"/>
            <w:vAlign w:val="center"/>
          </w:tcPr>
          <w:p>
            <w:pPr>
              <w:pStyle w:val="TableContents"/>
              <w:bidi w:val="0"/>
              <w:spacing w:before="0" w:after="283"/>
              <w:jc w:val="left"/>
              <w:rPr/>
            </w:pPr>
            <w:r>
              <w:rPr/>
              <w:t>Cash payments received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055" w:type="dxa"/>
            <w:tcBorders/>
            <w:vAlign w:val="center"/>
          </w:tcPr>
          <w:p>
            <w:pPr>
              <w:pStyle w:val="TableContents"/>
              <w:bidi w:val="0"/>
              <w:spacing w:before="0" w:after="283"/>
              <w:jc w:val="left"/>
              <w:rPr/>
            </w:pPr>
            <w:r>
              <w:rPr/>
              <w:t>Net leasing income recognized</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(1,900</w:t>
            </w:r>
          </w:p>
        </w:tc>
        <w:tc>
          <w:tcPr>
            <w:tcW w:w="170" w:type="dxa"/>
            <w:tcBorders/>
            <w:vAlign w:val="center"/>
          </w:tcPr>
          <w:p>
            <w:pPr>
              <w:pStyle w:val="TableContents"/>
              <w:bidi w:val="0"/>
              <w:spacing w:before="0" w:after="283"/>
              <w:ind w:left="0" w:right="0" w:hanging="0"/>
              <w:jc w:val="left"/>
              <w:rPr/>
            </w:pPr>
            <w:r>
              <w:rPr/>
              <w:t>)</w:t>
            </w:r>
          </w:p>
        </w:tc>
      </w:tr>
      <w:tr>
        <w:trPr/>
        <w:tc>
          <w:tcPr>
            <w:tcW w:w="4055" w:type="dxa"/>
            <w:tcBorders/>
            <w:shd w:fill="CCEEFF" w:val="clear"/>
            <w:vAlign w:val="center"/>
          </w:tcPr>
          <w:p>
            <w:pPr>
              <w:pStyle w:val="TableContents"/>
              <w:bidi w:val="0"/>
              <w:spacing w:before="0" w:after="283"/>
              <w:jc w:val="left"/>
              <w:rPr/>
            </w:pPr>
            <w:r>
              <w:rPr/>
              <w:t>Balance as of June 30, 2025 (unaudited)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345,800</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Disaggregation of Revenue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a disaggregation of revenue for the three and six months ended June 30, 2025 and 2024:</w:t>
      </w:r>
    </w:p>
    <w:p>
      <w:pPr>
        <w:pStyle w:val="TextBody"/>
        <w:bidi w:val="0"/>
        <w:jc w:val="both"/>
        <w:rPr>
          <w:caps w:val="false"/>
          <w:smallCaps w:val="false"/>
        </w:rPr>
      </w:pPr>
      <w:r>
        <w:rPr>
          <w:caps w:val="false"/>
          <w:smallCaps w:val="false"/>
        </w:rPr>
        <w:t> </w:t>
      </w:r>
    </w:p>
    <w:tbl>
      <w:tblPr>
        <w:tblW w:w="8025" w:type="dxa"/>
        <w:jc w:val="left"/>
        <w:tblInd w:w="0" w:type="dxa"/>
        <w:tblLayout w:type="fixed"/>
        <w:tblCellMar>
          <w:top w:w="0" w:type="dxa"/>
          <w:left w:w="0" w:type="dxa"/>
          <w:bottom w:w="0" w:type="dxa"/>
          <w:right w:w="0" w:type="dxa"/>
        </w:tblCellMar>
      </w:tblPr>
      <w:tblGrid>
        <w:gridCol w:w="2060"/>
        <w:gridCol w:w="90"/>
        <w:gridCol w:w="170"/>
        <w:gridCol w:w="1130"/>
        <w:gridCol w:w="90"/>
        <w:gridCol w:w="90"/>
        <w:gridCol w:w="170"/>
        <w:gridCol w:w="1130"/>
        <w:gridCol w:w="90"/>
        <w:gridCol w:w="90"/>
        <w:gridCol w:w="170"/>
        <w:gridCol w:w="1130"/>
        <w:gridCol w:w="90"/>
        <w:gridCol w:w="90"/>
        <w:gridCol w:w="170"/>
        <w:gridCol w:w="1130"/>
        <w:gridCol w:w="135"/>
      </w:tblGrid>
      <w:tr>
        <w:trPr/>
        <w:tc>
          <w:tcPr>
            <w:tcW w:w="2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vAlign w:val="center"/>
          </w:tcPr>
          <w:p>
            <w:pPr>
              <w:pStyle w:val="TableContents"/>
              <w:bidi w:val="0"/>
              <w:spacing w:before="0" w:after="283"/>
              <w:jc w:val="center"/>
              <w:rPr>
                <w:b/>
              </w:rPr>
            </w:pPr>
            <w:r>
              <w:rPr>
                <w:b/>
              </w:rPr>
              <w:t>Six Months Ended</w:t>
            </w:r>
          </w:p>
        </w:tc>
        <w:tc>
          <w:tcPr>
            <w:tcW w:w="13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3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(unaudited)</w:t>
            </w:r>
          </w:p>
        </w:tc>
        <w:tc>
          <w:tcPr>
            <w:tcW w:w="135" w:type="dxa"/>
            <w:tcBorders/>
            <w:vAlign w:val="center"/>
          </w:tcPr>
          <w:p>
            <w:pPr>
              <w:pStyle w:val="TableContents"/>
              <w:bidi w:val="0"/>
              <w:spacing w:before="0" w:after="283"/>
              <w:ind w:left="0" w:right="0" w:hanging="0"/>
              <w:jc w:val="left"/>
              <w:rPr/>
            </w:pPr>
            <w:r>
              <w:rPr/>
              <w:t> </w:t>
            </w:r>
          </w:p>
        </w:tc>
      </w:tr>
      <w:tr>
        <w:trPr/>
        <w:tc>
          <w:tcPr>
            <w:tcW w:w="2060" w:type="dxa"/>
            <w:tcBorders/>
            <w:shd w:fill="CCEEFF" w:val="clear"/>
            <w:vAlign w:val="center"/>
          </w:tcPr>
          <w:p>
            <w:pPr>
              <w:pStyle w:val="TableContents"/>
              <w:bidi w:val="0"/>
              <w:spacing w:before="0" w:after="283"/>
              <w:jc w:val="left"/>
              <w:rPr/>
            </w:pPr>
            <w:r>
              <w:rPr/>
              <w:t>Digital Channels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9,046,593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9,513,381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17,346,308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18,422,316</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060" w:type="dxa"/>
            <w:tcBorders/>
            <w:vAlign w:val="center"/>
          </w:tcPr>
          <w:p>
            <w:pPr>
              <w:pStyle w:val="TableContents"/>
              <w:bidi w:val="0"/>
              <w:spacing w:before="0" w:after="283"/>
              <w:jc w:val="left"/>
              <w:rPr/>
            </w:pPr>
            <w:r>
              <w:rPr/>
              <w:t>National Distribution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7,623,154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3,122,801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14,185,321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5,933,896</w:t>
            </w:r>
          </w:p>
        </w:tc>
        <w:tc>
          <w:tcPr>
            <w:tcW w:w="135" w:type="dxa"/>
            <w:tcBorders/>
            <w:vAlign w:val="center"/>
          </w:tcPr>
          <w:p>
            <w:pPr>
              <w:pStyle w:val="TableContents"/>
              <w:bidi w:val="0"/>
              <w:spacing w:before="0" w:after="283"/>
              <w:ind w:left="0" w:right="0" w:hanging="0"/>
              <w:jc w:val="left"/>
              <w:rPr/>
            </w:pPr>
            <w:r>
              <w:rPr/>
              <w:t> </w:t>
            </w:r>
          </w:p>
        </w:tc>
      </w:tr>
      <w:tr>
        <w:trPr/>
        <w:tc>
          <w:tcPr>
            <w:tcW w:w="2060" w:type="dxa"/>
            <w:tcBorders/>
            <w:shd w:fill="CCEEFF" w:val="clear"/>
            <w:vAlign w:val="center"/>
          </w:tcPr>
          <w:p>
            <w:pPr>
              <w:pStyle w:val="TableContents"/>
              <w:bidi w:val="0"/>
              <w:spacing w:before="0" w:after="283"/>
              <w:jc w:val="left"/>
              <w:rPr/>
            </w:pPr>
            <w:r>
              <w:rPr/>
              <w:t>Local Distribution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4,232,711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2,822,053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8,666,329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5,177,098</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060" w:type="dxa"/>
            <w:tcBorders/>
            <w:vAlign w:val="center"/>
          </w:tcPr>
          <w:p>
            <w:pPr>
              <w:pStyle w:val="TableContents"/>
              <w:bidi w:val="0"/>
              <w:spacing w:before="0" w:after="283"/>
              <w:jc w:val="left"/>
              <w:rPr/>
            </w:pPr>
            <w:r>
              <w:rPr/>
              <w:t>Direct-to-Consumer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916,797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2,151,663</w:t>
            </w:r>
          </w:p>
        </w:tc>
        <w:tc>
          <w:tcPr>
            <w:tcW w:w="135" w:type="dxa"/>
            <w:tcBorders/>
            <w:vAlign w:val="center"/>
          </w:tcPr>
          <w:p>
            <w:pPr>
              <w:pStyle w:val="TableContents"/>
              <w:bidi w:val="0"/>
              <w:spacing w:before="0" w:after="283"/>
              <w:ind w:left="0" w:right="0" w:hanging="0"/>
              <w:jc w:val="left"/>
              <w:rPr/>
            </w:pPr>
            <w:r>
              <w:rPr/>
              <w:t> </w:t>
            </w:r>
          </w:p>
        </w:tc>
      </w:tr>
      <w:tr>
        <w:trPr/>
        <w:tc>
          <w:tcPr>
            <w:tcW w:w="2060" w:type="dxa"/>
            <w:tcBorders/>
            <w:shd w:fill="CCEEFF" w:val="clear"/>
            <w:vAlign w:val="center"/>
          </w:tcPr>
          <w:p>
            <w:pPr>
              <w:pStyle w:val="TableContents"/>
              <w:bidi w:val="0"/>
              <w:spacing w:before="0" w:after="283"/>
              <w:jc w:val="left"/>
              <w:rPr/>
            </w:pPr>
            <w:r>
              <w:rPr/>
              <w:t>Other Services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200,676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249,257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453,742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457,468</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06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21,103,134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16,624,289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40,651,700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32,142,441</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Goods Sold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included in cost of goods sold all costs which are directly related to the generation of revenue. These costs include primarily the cost of food and raw materials, packing and handling, shipping, and delivery costs.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included all payroll costs as cost of goods sold in our leasing and logistics services business.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Basic and Diluted Earnings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shares issuable under executive compensation plan. Basic and diluted net loss per share is computed based on the weighted average number of shares of common stock outstanding during the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70"/>
        <w:gridCol w:w="90"/>
        <w:gridCol w:w="170"/>
        <w:gridCol w:w="1130"/>
        <w:gridCol w:w="90"/>
        <w:gridCol w:w="90"/>
        <w:gridCol w:w="170"/>
        <w:gridCol w:w="1130"/>
        <w:gridCol w:w="125"/>
        <w:gridCol w:w="90"/>
        <w:gridCol w:w="170"/>
        <w:gridCol w:w="1130"/>
        <w:gridCol w:w="125"/>
        <w:gridCol w:w="90"/>
        <w:gridCol w:w="170"/>
        <w:gridCol w:w="1130"/>
        <w:gridCol w:w="135"/>
      </w:tblGrid>
      <w:tr>
        <w:trPr/>
        <w:tc>
          <w:tcPr>
            <w:tcW w:w="417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35" w:type="dxa"/>
            <w:tcBorders/>
            <w:vAlign w:val="center"/>
          </w:tcPr>
          <w:p>
            <w:pPr>
              <w:pStyle w:val="TableContents"/>
              <w:bidi w:val="0"/>
              <w:spacing w:before="0" w:after="283"/>
              <w:ind w:left="0" w:right="0" w:hanging="180"/>
              <w:jc w:val="left"/>
              <w:rPr/>
            </w:pPr>
            <w:r>
              <w:rPr/>
              <w:t> </w:t>
            </w:r>
          </w:p>
        </w:tc>
      </w:tr>
      <w:tr>
        <w:trPr/>
        <w:tc>
          <w:tcPr>
            <w:tcW w:w="41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2024</w:t>
            </w:r>
          </w:p>
        </w:tc>
        <w:tc>
          <w:tcPr>
            <w:tcW w:w="135" w:type="dxa"/>
            <w:tcBorders/>
            <w:vAlign w:val="center"/>
          </w:tcPr>
          <w:p>
            <w:pPr>
              <w:pStyle w:val="TableContents"/>
              <w:bidi w:val="0"/>
              <w:spacing w:before="0" w:after="283"/>
              <w:ind w:left="0" w:right="0" w:hanging="180"/>
              <w:jc w:val="left"/>
              <w:rPr/>
            </w:pPr>
            <w:r>
              <w:rPr/>
              <w:t> </w:t>
            </w:r>
          </w:p>
        </w:tc>
      </w:tr>
      <w:tr>
        <w:trPr/>
        <w:tc>
          <w:tcPr>
            <w:tcW w:w="4170" w:type="dxa"/>
            <w:tcBorders/>
            <w:vAlign w:val="center"/>
          </w:tcPr>
          <w:p>
            <w:pPr>
              <w:pStyle w:val="TableContents"/>
              <w:bidi w:val="0"/>
              <w:spacing w:before="0" w:after="283"/>
              <w:jc w:val="left"/>
              <w:rPr>
                <w:b/>
              </w:rPr>
            </w:pPr>
            <w:r>
              <w:rPr>
                <w:b/>
              </w:rPr>
              <w:t>Numerator:</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170" w:type="dxa"/>
            <w:tcBorders/>
            <w:shd w:fill="CCEEFF" w:val="clear"/>
            <w:vAlign w:val="center"/>
          </w:tcPr>
          <w:p>
            <w:pPr>
              <w:pStyle w:val="TableContents"/>
              <w:bidi w:val="0"/>
              <w:spacing w:before="0" w:after="283"/>
              <w:jc w:val="left"/>
              <w:rPr/>
            </w:pPr>
            <w:r>
              <w:rPr/>
              <w:t>Net income (loss)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58,510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(371,926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1,381,186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170" w:type="dxa"/>
            <w:tcBorders/>
            <w:vAlign w:val="center"/>
          </w:tcPr>
          <w:p>
            <w:pPr>
              <w:pStyle w:val="TableContents"/>
              <w:bidi w:val="0"/>
              <w:spacing w:before="0" w:after="283"/>
              <w:jc w:val="left"/>
              <w:rPr>
                <w:b/>
              </w:rPr>
            </w:pPr>
            <w:r>
              <w:rPr>
                <w:b/>
              </w:rPr>
              <w:t>Denominator: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170" w:type="dxa"/>
            <w:tcBorders/>
            <w:shd w:fill="CCEEFF" w:val="clear"/>
            <w:vAlign w:val="center"/>
          </w:tcPr>
          <w:p>
            <w:pPr>
              <w:pStyle w:val="TableContents"/>
              <w:bidi w:val="0"/>
              <w:spacing w:before="0" w:after="283"/>
              <w:jc w:val="left"/>
              <w:rPr/>
            </w:pPr>
            <w:r>
              <w:rPr/>
              <w:t>Weighted average shares outstanding - basic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54,785,684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49,702,026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54,376,253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49,708,112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170" w:type="dxa"/>
            <w:tcBorders/>
            <w:vAlign w:val="center"/>
          </w:tcPr>
          <w:p>
            <w:pPr>
              <w:pStyle w:val="TableContents"/>
              <w:bidi w:val="0"/>
              <w:spacing w:before="0" w:after="283"/>
              <w:jc w:val="left"/>
              <w:rPr/>
            </w:pPr>
            <w:r>
              <w:rPr/>
              <w:t>Dilutive effect of stock issuable under compensation plan</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1,415,544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1,415,544</w:t>
            </w:r>
          </w:p>
        </w:tc>
        <w:tc>
          <w:tcPr>
            <w:tcW w:w="135" w:type="dxa"/>
            <w:tcBorders/>
            <w:vAlign w:val="center"/>
          </w:tcPr>
          <w:p>
            <w:pPr>
              <w:pStyle w:val="TableContents"/>
              <w:bidi w:val="0"/>
              <w:spacing w:before="0" w:after="283"/>
              <w:ind w:left="0" w:right="0" w:hanging="180"/>
              <w:jc w:val="left"/>
              <w:rPr/>
            </w:pPr>
            <w:r>
              <w:rPr/>
              <w:t> </w:t>
            </w:r>
          </w:p>
        </w:tc>
      </w:tr>
      <w:tr>
        <w:trPr/>
        <w:tc>
          <w:tcPr>
            <w:tcW w:w="4170" w:type="dxa"/>
            <w:tcBorders/>
            <w:shd w:fill="CCEEFF" w:val="clear"/>
            <w:vAlign w:val="center"/>
          </w:tcPr>
          <w:p>
            <w:pPr>
              <w:pStyle w:val="TableContents"/>
              <w:bidi w:val="0"/>
              <w:spacing w:before="0" w:after="283"/>
              <w:jc w:val="left"/>
              <w:rPr/>
            </w:pPr>
            <w:r>
              <w:rPr/>
              <w:t>Weighted average shares outstanding - 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54,785,684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51,117,570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54,376,253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51,123,656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170" w:type="dxa"/>
            <w:tcBorders/>
            <w:shd w:fill="CCEEFF" w:val="clear"/>
            <w:vAlign w:val="center"/>
          </w:tcPr>
          <w:p>
            <w:pPr>
              <w:pStyle w:val="TableContents"/>
              <w:bidi w:val="0"/>
              <w:spacing w:before="0" w:after="283"/>
              <w:jc w:val="left"/>
              <w:rPr/>
            </w:pPr>
            <w:r>
              <w:rPr/>
              <w:t>Net income (loss) per share from continuing operations -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0.001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(0.001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(0.007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0.027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 Shares at June 30,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Awards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there were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 At June 30, 2025, none of these RSU were vested. There was no charge to operations for these RSUs during the three and six months ended June 30,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there were a total of 433,687 shares of common stock potentially issuable to the Company’s executive officers pursuant to compensation plans and contingent upon the achievement of certain performance goals; see Notes 14 and 17. These shares have vested and are included in basic shares outstanding and fully-diluted earnings per share for the three and six months ended June 30, 2025. During the three and six months ended June 30, 2025, the amount of $101,201 and $202,402, respectively, was charged to stock-based compensation. See note 17.</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Computation of basic and diluted EPS: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potentially issuable shares not included in basic earnings per share, and no difference between EPS and fully-diluted EPS for the three and six months ended June 30,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 shares at June 30,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options outstanding and the related prices for the options to purchase shares of the Company’s common stock issued by the Company at June 30, 2024:</w:t>
      </w:r>
    </w:p>
    <w:p>
      <w:pPr>
        <w:pStyle w:val="TextBody"/>
        <w:bidi w:val="0"/>
        <w:jc w:val="both"/>
        <w:rPr>
          <w:caps w:val="false"/>
          <w:smallCaps w:val="false"/>
        </w:rPr>
      </w:pPr>
      <w:r>
        <w:rPr>
          <w:caps w:val="false"/>
          <w:smallCaps w:val="false"/>
        </w:rPr>
        <w:t> </w:t>
      </w:r>
    </w:p>
    <w:tbl>
      <w:tblPr>
        <w:tblW w:w="6387" w:type="dxa"/>
        <w:jc w:val="left"/>
        <w:tblInd w:w="0" w:type="dxa"/>
        <w:tblLayout w:type="fixed"/>
        <w:tblCellMar>
          <w:top w:w="0" w:type="dxa"/>
          <w:left w:w="0" w:type="dxa"/>
          <w:bottom w:w="0" w:type="dxa"/>
          <w:right w:w="0" w:type="dxa"/>
        </w:tblCellMar>
      </w:tblPr>
      <w:tblGrid>
        <w:gridCol w:w="378"/>
        <w:gridCol w:w="916"/>
        <w:gridCol w:w="90"/>
        <w:gridCol w:w="90"/>
        <w:gridCol w:w="182"/>
        <w:gridCol w:w="1472"/>
        <w:gridCol w:w="90"/>
        <w:gridCol w:w="90"/>
        <w:gridCol w:w="526"/>
        <w:gridCol w:w="2418"/>
        <w:gridCol w:w="135"/>
      </w:tblGrid>
      <w:tr>
        <w:trPr/>
        <w:tc>
          <w:tcPr>
            <w:tcW w:w="1294" w:type="dxa"/>
            <w:gridSpan w:val="2"/>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654" w:type="dxa"/>
            <w:gridSpan w:val="2"/>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2944"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Weighted average</w:t>
            </w:r>
          </w:p>
        </w:tc>
        <w:tc>
          <w:tcPr>
            <w:tcW w:w="135" w:type="dxa"/>
            <w:tcBorders/>
            <w:vAlign w:val="center"/>
          </w:tcPr>
          <w:p>
            <w:pPr>
              <w:pStyle w:val="TableContents"/>
              <w:bidi w:val="0"/>
              <w:spacing w:before="0" w:after="283"/>
              <w:ind w:left="0" w:right="0" w:hanging="0"/>
              <w:jc w:val="left"/>
              <w:rPr/>
            </w:pPr>
            <w:r>
              <w:rPr/>
              <w:t> </w:t>
            </w:r>
          </w:p>
        </w:tc>
      </w:tr>
      <w:tr>
        <w:trPr/>
        <w:tc>
          <w:tcPr>
            <w:tcW w:w="1294"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Exercise Price</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Number of Options</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2944"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Remaining contractual life (years)</w:t>
            </w:r>
          </w:p>
        </w:tc>
        <w:tc>
          <w:tcPr>
            <w:tcW w:w="135" w:type="dxa"/>
            <w:tcBorders/>
            <w:vAlign w:val="center"/>
          </w:tcPr>
          <w:p>
            <w:pPr>
              <w:pStyle w:val="TableContents"/>
              <w:bidi w:val="0"/>
              <w:spacing w:before="0" w:after="283"/>
              <w:ind w:left="0" w:right="0" w:hanging="0"/>
              <w:jc w:val="left"/>
              <w:rPr/>
            </w:pPr>
            <w:r>
              <w:rPr/>
              <w:t> </w:t>
            </w:r>
          </w:p>
        </w:tc>
      </w:tr>
      <w:tr>
        <w:trPr/>
        <w:tc>
          <w:tcPr>
            <w:tcW w:w="3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left"/>
              <w:rPr/>
            </w:pPr>
            <w:r>
              <w:rPr/>
              <w:t> </w:t>
            </w:r>
          </w:p>
        </w:tc>
        <w:tc>
          <w:tcPr>
            <w:tcW w:w="24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78"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526" w:type="dxa"/>
            <w:tcBorders/>
            <w:vAlign w:val="center"/>
          </w:tcPr>
          <w:p>
            <w:pPr>
              <w:pStyle w:val="TableContents"/>
              <w:bidi w:val="0"/>
              <w:spacing w:before="0" w:after="283"/>
              <w:ind w:left="0" w:right="0" w:hanging="0"/>
              <w:jc w:val="left"/>
              <w:rPr/>
            </w:pPr>
            <w:r>
              <w:rPr/>
              <w:t> </w:t>
            </w:r>
          </w:p>
        </w:tc>
        <w:tc>
          <w:tcPr>
            <w:tcW w:w="241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35" w:type="dxa"/>
            <w:tcBorders/>
            <w:vAlign w:val="center"/>
          </w:tcPr>
          <w:p>
            <w:pPr>
              <w:pStyle w:val="TableContents"/>
              <w:bidi w:val="0"/>
              <w:spacing w:before="0" w:after="283"/>
              <w:ind w:left="0" w:right="0" w:hanging="0"/>
              <w:jc w:val="left"/>
              <w:rPr/>
            </w:pPr>
            <w:r>
              <w:rPr/>
              <w:t> </w:t>
            </w:r>
          </w:p>
        </w:tc>
      </w:tr>
      <w:tr>
        <w:trPr/>
        <w:tc>
          <w:tcPr>
            <w:tcW w:w="3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72" w:type="dxa"/>
            <w:tcBorders>
              <w:bottom w:val="single" w:sz="8"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26" w:type="dxa"/>
            <w:tcBorders>
              <w:bottom w:val="single" w:sz="8"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18" w:type="dxa"/>
            <w:tcBorders>
              <w:bottom w:val="single" w:sz="8"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78" w:type="dxa"/>
            <w:tcBorders/>
            <w:vAlign w:val="center"/>
          </w:tcPr>
          <w:p>
            <w:pPr>
              <w:pStyle w:val="TableContents"/>
              <w:bidi w:val="0"/>
              <w:spacing w:before="0" w:after="283"/>
              <w:ind w:left="0" w:right="0" w:hanging="0"/>
              <w:jc w:val="left"/>
              <w:rPr/>
            </w:pPr>
            <w:r>
              <w:rPr/>
              <w:t> </w:t>
            </w:r>
          </w:p>
        </w:tc>
        <w:tc>
          <w:tcPr>
            <w:tcW w:w="916" w:type="dxa"/>
            <w:tcBorders/>
            <w:vAlign w:val="center"/>
          </w:tcPr>
          <w:p>
            <w:pPr>
              <w:pStyle w:val="TableContents"/>
              <w:bidi w:val="0"/>
              <w:spacing w:before="0" w:after="283"/>
              <w:ind w:left="0" w:right="0" w:hanging="0"/>
              <w:jc w:val="right"/>
              <w:rPr/>
            </w:pPr>
            <w:r>
              <w:rPr/>
              <w:t> </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82"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c>
          <w:tcPr>
            <w:tcW w:w="1472" w:type="dxa"/>
            <w:tcBorders>
              <w:bottom w:val="double" w:sz="6"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310,000</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526"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c>
          <w:tcPr>
            <w:tcW w:w="2418" w:type="dxa"/>
            <w:tcBorders>
              <w:bottom w:val="double" w:sz="6" w:space="0" w:color="000000"/>
            </w:tcBorders>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Awards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2024,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 At June 30, 2024, none of these RSU were vested. There was no charge to operations for these RSUs during the three and six months ended June 30, 2024.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2024, there were a total of 3,910,534 shares of common stock potentially issuable to the Company’s executive officers pursuant to compensation plans and contingent upon the achievement of certain performance goals; see notes 17. Of these, 1,415,544 shares have vested and are included in fully-diluted shares outstanding during the six months ended June 30, 2024; 2,490,990 have not vested, and are excluded from the calculation of fully-diluted shares outstanding during the six months ended June 30, 2024. During the three and six months ended June 30, 2024, the amounts of $105,269 and $208,504, respectively, were charged to stock-based compensation.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New Accounting Pronouncements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“Segment Reporting (Topic 280): Improvements to Reportable Segment Disclosures”. The amendments improve reportable segment disclosure requirements, primarily through enhanced disclosures about significant segment expenses. The ASU is effective for annual reporting periods beginning after December 15, 2023 and interim periods within fiscal years beginning after December 15, 2024 with early adoption permitted and can be applied on either a prospective or retroactive basis. The Company has adopted this guidance. The adoption of this pronouncement did not have a material effect on the Company’s Consolidated Financial Statements and segment disclosures.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(DISE)”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fiscal years beginning after December 15, 2026, and interim periods within fiscal years beginning after December 15, 2027. Early adoption is permitted. The Company does not believe the adoption of this guidance will have a material effect on its Consolidated Financial Statements and segment disclosures. </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DISCONTINUED OPERATIONS</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fiscal 2023, in connection with an analysis of the Company’s sales mix and profitability by service offering, management made the strategic decision to focus on the Company’s B2B service offering and to allocate fewer resources to and in some cases to sell certain of the Company’s subsidiaries involved in its D2C service offerings. Pursuant to this strategy, on December 29, 2023, the Company completed the sales of its Grow and Oasis subsidiaries; on February 26, 2024, the Company completed the sale of its Haley subsidiary (see Note 4); and on October 8, 2024, the Company sold substantially all of the assets of Mouth. In addition, the operations of Plantbelly were abandoned.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presents the major classes of line item of assets and liabilities included as part of discontinued operations in the consolidated balance sheets:</w:t>
      </w:r>
    </w:p>
    <w:p>
      <w:pPr>
        <w:pStyle w:val="TextBody"/>
        <w:bidi w:val="0"/>
        <w:jc w:val="left"/>
        <w:rPr>
          <w:caps w:val="false"/>
          <w:smallCaps w:val="false"/>
        </w:rPr>
      </w:pPr>
      <w:r>
        <w:rPr>
          <w:caps w:val="false"/>
          <w:smallCaps w:val="false"/>
        </w:rPr>
        <w:t> </w:t>
      </w:r>
    </w:p>
    <w:tbl>
      <w:tblPr>
        <w:tblW w:w="7288" w:type="dxa"/>
        <w:jc w:val="left"/>
        <w:tblInd w:w="0" w:type="dxa"/>
        <w:tblLayout w:type="fixed"/>
        <w:tblCellMar>
          <w:top w:w="0" w:type="dxa"/>
          <w:left w:w="0" w:type="dxa"/>
          <w:bottom w:w="0" w:type="dxa"/>
          <w:right w:w="0" w:type="dxa"/>
        </w:tblCellMar>
      </w:tblPr>
      <w:tblGrid>
        <w:gridCol w:w="4310"/>
        <w:gridCol w:w="90"/>
        <w:gridCol w:w="322"/>
        <w:gridCol w:w="807"/>
        <w:gridCol w:w="90"/>
        <w:gridCol w:w="90"/>
        <w:gridCol w:w="278"/>
        <w:gridCol w:w="1166"/>
        <w:gridCol w:w="135"/>
      </w:tblGrid>
      <w:tr>
        <w:trPr/>
        <w:tc>
          <w:tcPr>
            <w:tcW w:w="4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Current assets - discontinued operations:</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31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49,315</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310" w:type="dxa"/>
            <w:tcBorders/>
            <w:vAlign w:val="center"/>
          </w:tcPr>
          <w:p>
            <w:pPr>
              <w:pStyle w:val="TableContents"/>
              <w:bidi w:val="0"/>
              <w:spacing w:before="0" w:after="283"/>
              <w:jc w:val="left"/>
              <w:rPr/>
            </w:pPr>
            <w:r>
              <w:rPr/>
              <w:t>Total current assets - discontinued operations</w:t>
            </w:r>
          </w:p>
        </w:tc>
        <w:tc>
          <w:tcPr>
            <w:tcW w:w="90" w:type="dxa"/>
            <w:tcBorders/>
            <w:vAlign w:val="center"/>
          </w:tcPr>
          <w:p>
            <w:pPr>
              <w:pStyle w:val="TableContents"/>
              <w:bidi w:val="0"/>
              <w:spacing w:before="0" w:after="283"/>
              <w:jc w:val="left"/>
              <w:rPr/>
            </w:pPr>
            <w:r>
              <w:rPr/>
              <w:t> </w:t>
            </w:r>
          </w:p>
        </w:tc>
        <w:tc>
          <w:tcPr>
            <w:tcW w:w="322" w:type="dxa"/>
            <w:tcBorders>
              <w:bottom w:val="double" w:sz="6" w:space="0" w:color="000000"/>
            </w:tcBorders>
            <w:tcMar>
              <w:bottom w:w="28" w:type="dxa"/>
            </w:tcMar>
            <w:vAlign w:val="center"/>
          </w:tcPr>
          <w:p>
            <w:pPr>
              <w:pStyle w:val="TableContents"/>
              <w:bidi w:val="0"/>
              <w:spacing w:before="0" w:after="283"/>
              <w:jc w:val="left"/>
              <w:rPr/>
            </w:pPr>
            <w:r>
              <w:rPr/>
              <w:t>$</w:t>
            </w:r>
          </w:p>
        </w:tc>
        <w:tc>
          <w:tcPr>
            <w:tcW w:w="807"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double" w:sz="6" w:space="0" w:color="000000"/>
            </w:tcBorders>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tcMar>
              <w:bottom w:w="28" w:type="dxa"/>
            </w:tcMar>
            <w:vAlign w:val="center"/>
          </w:tcPr>
          <w:p>
            <w:pPr>
              <w:pStyle w:val="TableContents"/>
              <w:bidi w:val="0"/>
              <w:spacing w:before="0" w:after="283"/>
              <w:jc w:val="right"/>
              <w:rPr/>
            </w:pPr>
            <w:r>
              <w:rPr/>
              <w:t>49,315</w:t>
            </w:r>
          </w:p>
        </w:tc>
        <w:tc>
          <w:tcPr>
            <w:tcW w:w="13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presents the major classes of line items constituting the after-tax loss from discontinued operations in the consolidated statements of operations:</w:t>
      </w:r>
    </w:p>
    <w:p>
      <w:pPr>
        <w:pStyle w:val="TextBody"/>
        <w:bidi w:val="0"/>
        <w:jc w:val="left"/>
        <w:rPr>
          <w:caps w:val="false"/>
          <w:smallCaps w:val="false"/>
        </w:rPr>
      </w:pPr>
      <w:r>
        <w:rPr>
          <w:caps w:val="false"/>
          <w:smallCaps w:val="false"/>
        </w:rPr>
        <w:t> </w:t>
      </w:r>
    </w:p>
    <w:tbl>
      <w:tblPr>
        <w:tblW w:w="9694" w:type="dxa"/>
        <w:jc w:val="left"/>
        <w:tblInd w:w="0" w:type="dxa"/>
        <w:tblLayout w:type="fixed"/>
        <w:tblCellMar>
          <w:top w:w="0" w:type="dxa"/>
          <w:left w:w="0" w:type="dxa"/>
          <w:bottom w:w="0" w:type="dxa"/>
          <w:right w:w="0" w:type="dxa"/>
        </w:tblCellMar>
      </w:tblPr>
      <w:tblGrid>
        <w:gridCol w:w="4325"/>
        <w:gridCol w:w="90"/>
        <w:gridCol w:w="214"/>
        <w:gridCol w:w="915"/>
        <w:gridCol w:w="99"/>
        <w:gridCol w:w="99"/>
        <w:gridCol w:w="200"/>
        <w:gridCol w:w="929"/>
        <w:gridCol w:w="125"/>
        <w:gridCol w:w="90"/>
        <w:gridCol w:w="184"/>
        <w:gridCol w:w="945"/>
        <w:gridCol w:w="90"/>
        <w:gridCol w:w="90"/>
        <w:gridCol w:w="178"/>
        <w:gridCol w:w="951"/>
        <w:gridCol w:w="170"/>
      </w:tblGrid>
      <w:tr>
        <w:trPr/>
        <w:tc>
          <w:tcPr>
            <w:tcW w:w="4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7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June 30,</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June 30,</w:t>
            </w:r>
          </w:p>
        </w:tc>
        <w:tc>
          <w:tcPr>
            <w:tcW w:w="17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17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91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29" w:type="dxa"/>
            <w:tcBorders/>
            <w:shd w:fill="CCEEFF" w:val="clear"/>
            <w:vAlign w:val="center"/>
          </w:tcPr>
          <w:p>
            <w:pPr>
              <w:pStyle w:val="TableContents"/>
              <w:bidi w:val="0"/>
              <w:spacing w:before="0" w:after="283"/>
              <w:jc w:val="right"/>
              <w:rPr/>
            </w:pPr>
            <w:r>
              <w:rPr/>
              <w:t>34,636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271,453</w:t>
            </w:r>
          </w:p>
        </w:tc>
        <w:tc>
          <w:tcPr>
            <w:tcW w:w="17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Cost of goods sold</w:t>
            </w:r>
          </w:p>
        </w:tc>
        <w:tc>
          <w:tcPr>
            <w:tcW w:w="90" w:type="dxa"/>
            <w:tcBorders/>
            <w:vAlign w:val="center"/>
          </w:tcPr>
          <w:p>
            <w:pPr>
              <w:pStyle w:val="TableContents"/>
              <w:bidi w:val="0"/>
              <w:spacing w:before="0" w:after="283"/>
              <w:jc w:val="left"/>
              <w:rPr/>
            </w:pPr>
            <w:r>
              <w:rPr/>
              <w:t> </w:t>
            </w:r>
          </w:p>
        </w:tc>
        <w:tc>
          <w:tcPr>
            <w:tcW w:w="214" w:type="dxa"/>
            <w:tcBorders>
              <w:bottom w:val="single" w:sz="8" w:space="0" w:color="000000"/>
            </w:tcBorders>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tcMar>
              <w:bottom w:w="28" w:type="dxa"/>
            </w:tcMar>
            <w:vAlign w:val="center"/>
          </w:tcPr>
          <w:p>
            <w:pPr>
              <w:pStyle w:val="TableContents"/>
              <w:bidi w:val="0"/>
              <w:spacing w:before="0" w:after="283"/>
              <w:jc w:val="right"/>
              <w:rPr/>
            </w:pPr>
            <w:r>
              <w:rPr/>
              <w:t>-</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00" w:type="dxa"/>
            <w:tcBorders>
              <w:bottom w:val="single" w:sz="8" w:space="0" w:color="000000"/>
            </w:tcBorders>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tcMar>
              <w:bottom w:w="28" w:type="dxa"/>
            </w:tcMar>
            <w:vAlign w:val="center"/>
          </w:tcPr>
          <w:p>
            <w:pPr>
              <w:pStyle w:val="TableContents"/>
              <w:bidi w:val="0"/>
              <w:spacing w:before="0" w:after="283"/>
              <w:jc w:val="right"/>
              <w:rPr/>
            </w:pPr>
            <w:r>
              <w:rPr/>
              <w:t>(49,165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tcMar>
              <w:bottom w:w="28" w:type="dxa"/>
            </w:tcMar>
            <w:vAlign w:val="center"/>
          </w:tcPr>
          <w:p>
            <w:pPr>
              <w:pStyle w:val="TableContents"/>
              <w:bidi w:val="0"/>
              <w:spacing w:before="0" w:after="283"/>
              <w:jc w:val="right"/>
              <w:rPr/>
            </w:pPr>
            <w:r>
              <w:rPr/>
              <w:t>(233,983</w:t>
            </w:r>
          </w:p>
        </w:tc>
        <w:tc>
          <w:tcPr>
            <w:tcW w:w="170" w:type="dxa"/>
            <w:tcBorders/>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(14,529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37,470</w:t>
            </w:r>
          </w:p>
        </w:tc>
        <w:tc>
          <w:tcPr>
            <w:tcW w:w="17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Selling, general, and administrative expenses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(28,795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(96,106</w:t>
            </w:r>
          </w:p>
        </w:tc>
        <w:tc>
          <w:tcPr>
            <w:tcW w:w="170" w:type="dxa"/>
            <w:tcBorders/>
            <w:shd w:fill="CCEEFF" w:val="clear"/>
            <w:vAlign w:val="center"/>
          </w:tcPr>
          <w:p>
            <w:pPr>
              <w:pStyle w:val="TableContents"/>
              <w:bidi w:val="0"/>
              <w:spacing w:before="0" w:after="283"/>
              <w:jc w:val="left"/>
              <w:rPr/>
            </w:pPr>
            <w:r>
              <w:rPr/>
              <w:t>)</w:t>
            </w:r>
          </w:p>
        </w:tc>
      </w:tr>
      <w:tr>
        <w:trPr/>
        <w:tc>
          <w:tcPr>
            <w:tcW w:w="4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Loss from discontinued operations, net of tax</w:t>
            </w:r>
          </w:p>
        </w:tc>
        <w:tc>
          <w:tcPr>
            <w:tcW w:w="90" w:type="dxa"/>
            <w:tcBorders/>
            <w:vAlign w:val="center"/>
          </w:tcPr>
          <w:p>
            <w:pPr>
              <w:pStyle w:val="TableContents"/>
              <w:bidi w:val="0"/>
              <w:spacing w:before="0" w:after="283"/>
              <w:jc w:val="left"/>
              <w:rPr/>
            </w:pPr>
            <w:r>
              <w:rPr/>
              <w:t> </w:t>
            </w:r>
          </w:p>
        </w:tc>
        <w:tc>
          <w:tcPr>
            <w:tcW w:w="214" w:type="dxa"/>
            <w:tcBorders>
              <w:bottom w:val="double" w:sz="6" w:space="0" w:color="000000"/>
            </w:tcBorders>
            <w:tcMar>
              <w:bottom w:w="28" w:type="dxa"/>
            </w:tcMar>
            <w:vAlign w:val="center"/>
          </w:tcPr>
          <w:p>
            <w:pPr>
              <w:pStyle w:val="TableContents"/>
              <w:bidi w:val="0"/>
              <w:spacing w:before="0" w:after="283"/>
              <w:jc w:val="left"/>
              <w:rPr/>
            </w:pPr>
            <w:r>
              <w:rPr/>
              <w:t>$</w:t>
            </w:r>
          </w:p>
        </w:tc>
        <w:tc>
          <w:tcPr>
            <w:tcW w:w="915" w:type="dxa"/>
            <w:tcBorders>
              <w:bottom w:val="double" w:sz="6" w:space="0" w:color="000000"/>
            </w:tcBorders>
            <w:tcMar>
              <w:bottom w:w="28" w:type="dxa"/>
            </w:tcMar>
            <w:vAlign w:val="center"/>
          </w:tcPr>
          <w:p>
            <w:pPr>
              <w:pStyle w:val="TableContents"/>
              <w:bidi w:val="0"/>
              <w:spacing w:before="0" w:after="283"/>
              <w:jc w:val="right"/>
              <w:rPr/>
            </w:pPr>
            <w:r>
              <w:rPr/>
              <w:t>          </w:t>
            </w:r>
            <w:r>
              <w:rPr/>
              <w:t>-</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00" w:type="dxa"/>
            <w:tcBorders>
              <w:bottom w:val="double" w:sz="6" w:space="0" w:color="000000"/>
            </w:tcBorders>
            <w:tcMar>
              <w:bottom w:w="28" w:type="dxa"/>
            </w:tcMar>
            <w:vAlign w:val="center"/>
          </w:tcPr>
          <w:p>
            <w:pPr>
              <w:pStyle w:val="TableContents"/>
              <w:bidi w:val="0"/>
              <w:spacing w:before="0" w:after="283"/>
              <w:jc w:val="left"/>
              <w:rPr/>
            </w:pPr>
            <w:r>
              <w:rPr/>
              <w:t>$</w:t>
            </w:r>
          </w:p>
        </w:tc>
        <w:tc>
          <w:tcPr>
            <w:tcW w:w="929" w:type="dxa"/>
            <w:tcBorders>
              <w:bottom w:val="double" w:sz="6" w:space="0" w:color="000000"/>
            </w:tcBorders>
            <w:tcMar>
              <w:bottom w:w="28" w:type="dxa"/>
            </w:tcMar>
            <w:vAlign w:val="center"/>
          </w:tcPr>
          <w:p>
            <w:pPr>
              <w:pStyle w:val="TableContents"/>
              <w:bidi w:val="0"/>
              <w:spacing w:before="0" w:after="283"/>
              <w:jc w:val="right"/>
              <w:rPr/>
            </w:pPr>
            <w:r>
              <w:rPr/>
              <w:t>(43,324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4" w:type="dxa"/>
            <w:tcBorders>
              <w:bottom w:val="double" w:sz="6" w:space="0" w:color="000000"/>
            </w:tcBorders>
            <w:tcMar>
              <w:bottom w:w="28" w:type="dxa"/>
            </w:tcMar>
            <w:vAlign w:val="center"/>
          </w:tcPr>
          <w:p>
            <w:pPr>
              <w:pStyle w:val="TableContents"/>
              <w:bidi w:val="0"/>
              <w:spacing w:before="0" w:after="283"/>
              <w:jc w:val="left"/>
              <w:rPr/>
            </w:pPr>
            <w:r>
              <w:rPr/>
              <w:t>$</w:t>
            </w:r>
          </w:p>
        </w:tc>
        <w:tc>
          <w:tcPr>
            <w:tcW w:w="945" w:type="dxa"/>
            <w:tcBorders>
              <w:bottom w:val="double" w:sz="6" w:space="0" w:color="000000"/>
            </w:tcBorders>
            <w:tcMar>
              <w:bottom w:w="28" w:type="dxa"/>
            </w:tcMar>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double" w:sz="6" w:space="0" w:color="000000"/>
            </w:tcBorders>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tcMar>
              <w:bottom w:w="28" w:type="dxa"/>
            </w:tcMar>
            <w:vAlign w:val="center"/>
          </w:tcPr>
          <w:p>
            <w:pPr>
              <w:pStyle w:val="TableContents"/>
              <w:bidi w:val="0"/>
              <w:spacing w:before="0" w:after="283"/>
              <w:jc w:val="right"/>
              <w:rPr/>
            </w:pPr>
            <w:r>
              <w:rPr/>
              <w:t>(58,636</w:t>
            </w:r>
          </w:p>
        </w:tc>
        <w:tc>
          <w:tcPr>
            <w:tcW w:w="170" w:type="dxa"/>
            <w:tcBorders/>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major classes of line items which constituted significant operating and investing cash flow activities in the consolidated statements of cash flows relating to discontinued operations.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SALE OF ASSETS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2024, the Company sold its property located at 28411 Race Track Road, Bonita Springs, Florida, for net cash proceeds of $2,101,185, net of the payoff of principal and interest in the amount of $356,215 on Maple Mark Term Loan 2. A gain in the amount of $1,807,516 was recorded on this transaction.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SALE OF SUBSIDIARY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2024, the Company sold 100% of the equity interests in Haley for the return of 21,126 shares of the Company’s common stock held by the buyer. Haley had no assets or liabilities at the time of the sale. The Company valued the 21,126 shares of common stock at the market price on the date of the acquisition of $1.00 per sale and recorded a gain in the amount of $21,126 on this transaction.</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ACCOUNTS RECEIVABLE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and December 31, 2024, accounts receivable consists of:</w:t>
      </w:r>
    </w:p>
    <w:p>
      <w:pPr>
        <w:pStyle w:val="TextBody"/>
        <w:bidi w:val="0"/>
        <w:jc w:val="left"/>
        <w:rPr>
          <w:caps w:val="false"/>
          <w:smallCaps w:val="false"/>
        </w:rPr>
      </w:pPr>
      <w:r>
        <w:rPr>
          <w:caps w:val="false"/>
          <w:smallCaps w:val="false"/>
        </w:rPr>
        <w:t> </w:t>
      </w:r>
    </w:p>
    <w:tbl>
      <w:tblPr>
        <w:tblW w:w="6659" w:type="dxa"/>
        <w:jc w:val="left"/>
        <w:tblInd w:w="0" w:type="dxa"/>
        <w:tblLayout w:type="fixed"/>
        <w:tblCellMar>
          <w:top w:w="0" w:type="dxa"/>
          <w:left w:w="0" w:type="dxa"/>
          <w:bottom w:w="0" w:type="dxa"/>
          <w:right w:w="0" w:type="dxa"/>
        </w:tblCellMar>
      </w:tblPr>
      <w:tblGrid>
        <w:gridCol w:w="3500"/>
        <w:gridCol w:w="90"/>
        <w:gridCol w:w="170"/>
        <w:gridCol w:w="1010"/>
        <w:gridCol w:w="125"/>
        <w:gridCol w:w="90"/>
        <w:gridCol w:w="216"/>
        <w:gridCol w:w="1288"/>
        <w:gridCol w:w="170"/>
      </w:tblGrid>
      <w:tr>
        <w:trPr/>
        <w:tc>
          <w:tcPr>
            <w:tcW w:w="35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3500" w:type="dxa"/>
            <w:tcBorders/>
            <w:shd w:fill="CCEEFF" w:val="clear"/>
            <w:vAlign w:val="center"/>
          </w:tcPr>
          <w:p>
            <w:pPr>
              <w:pStyle w:val="TableContents"/>
              <w:bidi w:val="0"/>
              <w:spacing w:before="0" w:after="283"/>
              <w:jc w:val="left"/>
              <w:rPr/>
            </w:pPr>
            <w:r>
              <w:rPr/>
              <w:t>Accounts receivable from customers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6,956,599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9,079,234</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500" w:type="dxa"/>
            <w:tcBorders/>
            <w:vAlign w:val="center"/>
          </w:tcPr>
          <w:p>
            <w:pPr>
              <w:pStyle w:val="TableContents"/>
              <w:bidi w:val="0"/>
              <w:spacing w:before="0" w:after="283"/>
              <w:jc w:val="left"/>
              <w:rPr/>
            </w:pPr>
            <w:r>
              <w:rPr/>
              <w:t>Allowance for credit losses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(40,002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tcMar>
              <w:bottom w:w="28" w:type="dxa"/>
            </w:tcMar>
            <w:vAlign w:val="center"/>
          </w:tcPr>
          <w:p>
            <w:pPr>
              <w:pStyle w:val="TableContents"/>
              <w:bidi w:val="0"/>
              <w:spacing w:before="0" w:after="283"/>
              <w:jc w:val="right"/>
              <w:rPr/>
            </w:pPr>
            <w:r>
              <w:rPr/>
              <w:t>(40,002</w:t>
            </w:r>
          </w:p>
        </w:tc>
        <w:tc>
          <w:tcPr>
            <w:tcW w:w="170" w:type="dxa"/>
            <w:tcBorders/>
            <w:vAlign w:val="center"/>
          </w:tcPr>
          <w:p>
            <w:pPr>
              <w:pStyle w:val="TableContents"/>
              <w:bidi w:val="0"/>
              <w:spacing w:before="0" w:after="283"/>
              <w:ind w:left="0" w:right="0" w:hanging="0"/>
              <w:jc w:val="left"/>
              <w:rPr/>
            </w:pPr>
            <w:r>
              <w:rPr/>
              <w:t>)</w:t>
            </w:r>
          </w:p>
        </w:tc>
      </w:tr>
      <w:tr>
        <w:trPr/>
        <w:tc>
          <w:tcPr>
            <w:tcW w:w="3500"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6,916,597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9,039,232</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2025, the Company charged the amount of $755 and $28,310 to provision for credit losses, respectively. During the three and six months ended June 30, 2024, the Company charged the amount of $12,973 and $35,855 to provision for credit losses, respectively.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INVENTORY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primarily of specialty food products. At June 30, 2025 and December 31, 2024, inventory consisted of the following:</w:t>
      </w:r>
    </w:p>
    <w:p>
      <w:pPr>
        <w:pStyle w:val="TextBody"/>
        <w:bidi w:val="0"/>
        <w:jc w:val="left"/>
        <w:rPr>
          <w:caps w:val="false"/>
          <w:smallCaps w:val="false"/>
        </w:rPr>
      </w:pPr>
      <w:r>
        <w:rPr>
          <w:caps w:val="false"/>
          <w:smallCaps w:val="false"/>
        </w:rPr>
        <w:t> </w:t>
      </w:r>
    </w:p>
    <w:tbl>
      <w:tblPr>
        <w:tblW w:w="7849" w:type="dxa"/>
        <w:jc w:val="left"/>
        <w:tblInd w:w="0" w:type="dxa"/>
        <w:tblLayout w:type="fixed"/>
        <w:tblCellMar>
          <w:top w:w="0" w:type="dxa"/>
          <w:left w:w="0" w:type="dxa"/>
          <w:bottom w:w="0" w:type="dxa"/>
          <w:right w:w="0" w:type="dxa"/>
        </w:tblCellMar>
      </w:tblPr>
      <w:tblGrid>
        <w:gridCol w:w="4760"/>
        <w:gridCol w:w="90"/>
        <w:gridCol w:w="170"/>
        <w:gridCol w:w="1010"/>
        <w:gridCol w:w="90"/>
        <w:gridCol w:w="90"/>
        <w:gridCol w:w="216"/>
        <w:gridCol w:w="1288"/>
        <w:gridCol w:w="135"/>
      </w:tblGrid>
      <w:tr>
        <w:trPr/>
        <w:tc>
          <w:tcPr>
            <w:tcW w:w="4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760" w:type="dxa"/>
            <w:tcBorders/>
            <w:shd w:fill="CCEEFF" w:val="clear"/>
            <w:vAlign w:val="center"/>
          </w:tcPr>
          <w:p>
            <w:pPr>
              <w:pStyle w:val="TableContents"/>
              <w:bidi w:val="0"/>
              <w:spacing w:before="0" w:after="283"/>
              <w:jc w:val="left"/>
              <w:rPr/>
            </w:pPr>
            <w:r>
              <w:rPr/>
              <w:t>Finished goods inventory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5,901,009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6,290,488</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760" w:type="dxa"/>
            <w:tcBorders/>
            <w:vAlign w:val="center"/>
          </w:tcPr>
          <w:p>
            <w:pPr>
              <w:pStyle w:val="TableContents"/>
              <w:bidi w:val="0"/>
              <w:spacing w:before="0" w:after="283"/>
              <w:jc w:val="left"/>
              <w:rPr/>
            </w:pPr>
            <w:r>
              <w:rPr/>
              <w:t>Allowance for slow moving &amp; obsolete inventory</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4760" w:type="dxa"/>
            <w:tcBorders/>
            <w:shd w:fill="CCEEFF" w:val="clear"/>
            <w:vAlign w:val="center"/>
          </w:tcPr>
          <w:p>
            <w:pPr>
              <w:pStyle w:val="TableContents"/>
              <w:bidi w:val="0"/>
              <w:spacing w:before="0" w:after="283"/>
              <w:jc w:val="left"/>
              <w:rPr/>
            </w:pPr>
            <w:r>
              <w:rPr/>
              <w:t>Finished goods inventory,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5,901,009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6,290,488</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PROPERTY AND EQUIPMENT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property and equipment at June 30, 2025 and December 31, 2024 is as follows:</w:t>
      </w:r>
    </w:p>
    <w:p>
      <w:pPr>
        <w:pStyle w:val="TextBody"/>
        <w:bidi w:val="0"/>
        <w:jc w:val="left"/>
        <w:rPr>
          <w:caps w:val="false"/>
          <w:smallCaps w:val="false"/>
        </w:rPr>
      </w:pPr>
      <w:r>
        <w:rPr>
          <w:caps w:val="false"/>
          <w:smallCaps w:val="false"/>
        </w:rPr>
        <w:t> </w:t>
      </w:r>
    </w:p>
    <w:tbl>
      <w:tblPr>
        <w:tblW w:w="6914" w:type="dxa"/>
        <w:jc w:val="left"/>
        <w:tblInd w:w="0" w:type="dxa"/>
        <w:tblLayout w:type="fixed"/>
        <w:tblCellMar>
          <w:top w:w="0" w:type="dxa"/>
          <w:left w:w="0" w:type="dxa"/>
          <w:bottom w:w="0" w:type="dxa"/>
          <w:right w:w="0" w:type="dxa"/>
        </w:tblCellMar>
      </w:tblPr>
      <w:tblGrid>
        <w:gridCol w:w="3680"/>
        <w:gridCol w:w="90"/>
        <w:gridCol w:w="170"/>
        <w:gridCol w:w="1085"/>
        <w:gridCol w:w="125"/>
        <w:gridCol w:w="90"/>
        <w:gridCol w:w="203"/>
        <w:gridCol w:w="1301"/>
        <w:gridCol w:w="170"/>
      </w:tblGrid>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3680" w:type="dxa"/>
            <w:tcBorders/>
            <w:shd w:fill="CCEEFF" w:val="clear"/>
            <w:vAlign w:val="center"/>
          </w:tcPr>
          <w:p>
            <w:pPr>
              <w:pStyle w:val="TableContents"/>
              <w:bidi w:val="0"/>
              <w:spacing w:before="0" w:after="283"/>
              <w:jc w:val="left"/>
              <w:rPr/>
            </w:pPr>
            <w:r>
              <w:rPr/>
              <w:t>Land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208,140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301" w:type="dxa"/>
            <w:tcBorders/>
            <w:shd w:fill="CCEEFF" w:val="clear"/>
            <w:vAlign w:val="center"/>
          </w:tcPr>
          <w:p>
            <w:pPr>
              <w:pStyle w:val="TableContents"/>
              <w:bidi w:val="0"/>
              <w:spacing w:before="0" w:after="283"/>
              <w:jc w:val="right"/>
              <w:rPr/>
            </w:pPr>
            <w:r>
              <w:rPr/>
              <w:t>208,140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680" w:type="dxa"/>
            <w:tcBorders/>
            <w:vAlign w:val="center"/>
          </w:tcPr>
          <w:p>
            <w:pPr>
              <w:pStyle w:val="TableContents"/>
              <w:bidi w:val="0"/>
              <w:spacing w:before="0" w:after="283"/>
              <w:jc w:val="left"/>
              <w:rPr/>
            </w:pPr>
            <w:r>
              <w:rPr/>
              <w:t>Building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1,045,335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904,593</w:t>
            </w:r>
          </w:p>
        </w:tc>
        <w:tc>
          <w:tcPr>
            <w:tcW w:w="170" w:type="dxa"/>
            <w:tcBorders/>
            <w:vAlign w:val="center"/>
          </w:tcPr>
          <w:p>
            <w:pPr>
              <w:pStyle w:val="TableContents"/>
              <w:bidi w:val="0"/>
              <w:spacing w:before="0" w:after="283"/>
              <w:ind w:left="0" w:right="0" w:hanging="0"/>
              <w:jc w:val="left"/>
              <w:rPr/>
            </w:pPr>
            <w:r>
              <w:rPr/>
              <w:t> </w:t>
            </w:r>
          </w:p>
        </w:tc>
      </w:tr>
      <w:tr>
        <w:trPr/>
        <w:tc>
          <w:tcPr>
            <w:tcW w:w="3680" w:type="dxa"/>
            <w:tcBorders/>
            <w:shd w:fill="CCEEFF" w:val="clear"/>
            <w:vAlign w:val="center"/>
          </w:tcPr>
          <w:p>
            <w:pPr>
              <w:pStyle w:val="TableContents"/>
              <w:bidi w:val="0"/>
              <w:spacing w:before="0" w:after="283"/>
              <w:jc w:val="left"/>
              <w:rPr/>
            </w:pPr>
            <w:r>
              <w:rPr/>
              <w:t>Computer and Office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290,441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260,702</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680" w:type="dxa"/>
            <w:tcBorders/>
            <w:vAlign w:val="center"/>
          </w:tcPr>
          <w:p>
            <w:pPr>
              <w:pStyle w:val="TableContents"/>
              <w:bidi w:val="0"/>
              <w:spacing w:before="0" w:after="283"/>
              <w:jc w:val="left"/>
              <w:rPr/>
            </w:pPr>
            <w:r>
              <w:rPr/>
              <w:t>Warehouse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655,622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617,587</w:t>
            </w:r>
          </w:p>
        </w:tc>
        <w:tc>
          <w:tcPr>
            <w:tcW w:w="170" w:type="dxa"/>
            <w:tcBorders/>
            <w:vAlign w:val="center"/>
          </w:tcPr>
          <w:p>
            <w:pPr>
              <w:pStyle w:val="TableContents"/>
              <w:bidi w:val="0"/>
              <w:spacing w:before="0" w:after="283"/>
              <w:ind w:left="0" w:right="0" w:hanging="0"/>
              <w:jc w:val="left"/>
              <w:rPr/>
            </w:pPr>
            <w:r>
              <w:rPr/>
              <w:t> </w:t>
            </w:r>
          </w:p>
        </w:tc>
      </w:tr>
      <w:tr>
        <w:trPr/>
        <w:tc>
          <w:tcPr>
            <w:tcW w:w="3680" w:type="dxa"/>
            <w:tcBorders/>
            <w:shd w:fill="CCEEFF" w:val="clear"/>
            <w:vAlign w:val="center"/>
          </w:tcPr>
          <w:p>
            <w:pPr>
              <w:pStyle w:val="TableContents"/>
              <w:bidi w:val="0"/>
              <w:spacing w:before="0" w:after="283"/>
              <w:jc w:val="left"/>
              <w:rPr/>
            </w:pPr>
            <w:r>
              <w:rPr/>
              <w:t>Furniture and Fixtures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953,240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952,870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680" w:type="dxa"/>
            <w:tcBorders/>
            <w:vAlign w:val="center"/>
          </w:tcPr>
          <w:p>
            <w:pPr>
              <w:pStyle w:val="TableContents"/>
              <w:bidi w:val="0"/>
              <w:spacing w:before="0" w:after="283"/>
              <w:jc w:val="left"/>
              <w:rPr/>
            </w:pPr>
            <w:r>
              <w:rPr/>
              <w:t>Vehicles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right"/>
              <w:rPr/>
            </w:pPr>
            <w:r>
              <w:rPr/>
              <w:t>277,353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 w:type="dxa"/>
            <w:tcBorders>
              <w:bottom w:val="single" w:sz="8" w:space="0" w:color="000000"/>
            </w:tcBorders>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tcMar>
              <w:bottom w:w="28" w:type="dxa"/>
            </w:tcMar>
            <w:vAlign w:val="center"/>
          </w:tcPr>
          <w:p>
            <w:pPr>
              <w:pStyle w:val="TableContents"/>
              <w:bidi w:val="0"/>
              <w:spacing w:before="0" w:after="283"/>
              <w:jc w:val="right"/>
              <w:rPr/>
            </w:pPr>
            <w:r>
              <w:rPr/>
              <w:t>277,353</w:t>
            </w:r>
          </w:p>
        </w:tc>
        <w:tc>
          <w:tcPr>
            <w:tcW w:w="170" w:type="dxa"/>
            <w:tcBorders/>
            <w:vAlign w:val="center"/>
          </w:tcPr>
          <w:p>
            <w:pPr>
              <w:pStyle w:val="TableContents"/>
              <w:bidi w:val="0"/>
              <w:spacing w:before="0" w:after="283"/>
              <w:ind w:left="0" w:right="0" w:hanging="0"/>
              <w:jc w:val="left"/>
              <w:rPr/>
            </w:pPr>
            <w:r>
              <w:rPr/>
              <w:t> </w:t>
            </w:r>
          </w:p>
        </w:tc>
      </w:tr>
      <w:tr>
        <w:trPr/>
        <w:tc>
          <w:tcPr>
            <w:tcW w:w="3680" w:type="dxa"/>
            <w:tcBorders/>
            <w:shd w:fill="CCEEFF" w:val="clear"/>
            <w:vAlign w:val="center"/>
          </w:tcPr>
          <w:p>
            <w:pPr>
              <w:pStyle w:val="TableContents"/>
              <w:bidi w:val="0"/>
              <w:spacing w:before="0" w:after="283"/>
              <w:jc w:val="left"/>
              <w:rPr/>
            </w:pPr>
            <w:r>
              <w:rPr/>
              <w:t>Total before accumulated depreciation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3,430,131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3,221,245</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680" w:type="dxa"/>
            <w:tcBorders/>
            <w:vAlign w:val="center"/>
          </w:tcPr>
          <w:p>
            <w:pPr>
              <w:pStyle w:val="TableContents"/>
              <w:bidi w:val="0"/>
              <w:spacing w:before="0" w:after="283"/>
              <w:jc w:val="left"/>
              <w:rPr/>
            </w:pPr>
            <w:r>
              <w:rPr/>
              <w:t>Less: accumulated depreciation</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right"/>
              <w:rPr/>
            </w:pPr>
            <w:r>
              <w:rPr/>
              <w:t>(1,751,919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3" w:type="dxa"/>
            <w:tcBorders>
              <w:bottom w:val="single" w:sz="8" w:space="0" w:color="000000"/>
            </w:tcBorders>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tcMar>
              <w:bottom w:w="28" w:type="dxa"/>
            </w:tcMar>
            <w:vAlign w:val="center"/>
          </w:tcPr>
          <w:p>
            <w:pPr>
              <w:pStyle w:val="TableContents"/>
              <w:bidi w:val="0"/>
              <w:spacing w:before="0" w:after="283"/>
              <w:jc w:val="right"/>
              <w:rPr/>
            </w:pPr>
            <w:r>
              <w:rPr/>
              <w:t>(1,636,367</w:t>
            </w:r>
          </w:p>
        </w:tc>
        <w:tc>
          <w:tcPr>
            <w:tcW w:w="170" w:type="dxa"/>
            <w:tcBorders/>
            <w:vAlign w:val="center"/>
          </w:tcPr>
          <w:p>
            <w:pPr>
              <w:pStyle w:val="TableContents"/>
              <w:bidi w:val="0"/>
              <w:spacing w:before="0" w:after="283"/>
              <w:ind w:left="0" w:right="0" w:hanging="0"/>
              <w:jc w:val="left"/>
              <w:rPr/>
            </w:pPr>
            <w:r>
              <w:rPr/>
              <w:t>)</w:t>
            </w:r>
          </w:p>
        </w:tc>
      </w:tr>
      <w:tr>
        <w:trPr/>
        <w:tc>
          <w:tcPr>
            <w:tcW w:w="368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1,678,212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1" w:type="dxa"/>
            <w:tcBorders>
              <w:bottom w:val="double" w:sz="6" w:space="0" w:color="000000"/>
            </w:tcBorders>
            <w:shd w:fill="CCEEFF" w:val="clear"/>
            <w:tcMar>
              <w:bottom w:w="28" w:type="dxa"/>
            </w:tcMar>
            <w:vAlign w:val="center"/>
          </w:tcPr>
          <w:p>
            <w:pPr>
              <w:pStyle w:val="TableContents"/>
              <w:bidi w:val="0"/>
              <w:spacing w:before="0" w:after="283"/>
              <w:jc w:val="right"/>
              <w:rPr/>
            </w:pPr>
            <w:r>
              <w:rPr/>
              <w:t>1,584,878</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property and equipment amounted to $88,594 and $53,366 for the three months ended June 30, 2025 and 2024, respectively, and $175,318 and $125,525 for the six months ended June 30, 2025 and 2024, respectively. Depreciation expense for property and equipment is recorded in selling, general &amp; administrative expenses on the Company’s statement of operations. During the six months ended June 30, 2025 and 2024, the Company acquired property and equipment in the amount of $208,886 and $15,857,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PROPERTY AND EQUIPMENT CLASSIFIED AS HELD FOR SALE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 include the net book value of property and equipment the Company plans to sell within the next year. Long lived assets that meet the criteria are held for sale and reported at the lower of their carrying value or fair value less estimated cost to sell.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classified the land, building, leasehold improvements, and certain equipment located at 28411 Race Track Road, Bonita Springs, Florida, 34135 (the “Race Track Road Property”) as held for sale. On February 14, 2024, the Company finalized the sale of the Race Track Road Property for cash in the amount of $2,455,000. The Company recorded a gain on the sale in the amount of $1,807,516. Proceeds of the sale in the amount of $353,815 were used to pay the mortgage and accrued interest on the Race Track Road Property. Total expenses related to the sale were $165,755, including a commission of $147,300, state taxes of $17,185, and closing fees of $1,270.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December 31, 2024, the Company classified the land and building located at 220 Oak Hill Road, Mountain Top, Pennsylvania, as held for sale.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book value of these assets consisted of the following at June 30, 2025 and December 31, 2024:</w:t>
      </w:r>
    </w:p>
    <w:p>
      <w:pPr>
        <w:pStyle w:val="TextBody"/>
        <w:bidi w:val="0"/>
        <w:jc w:val="left"/>
        <w:rPr>
          <w:caps w:val="false"/>
          <w:smallCaps w:val="false"/>
        </w:rPr>
      </w:pPr>
      <w:r>
        <w:rPr>
          <w:caps w:val="false"/>
          <w:smallCaps w:val="false"/>
        </w:rPr>
        <w:t> </w:t>
      </w:r>
    </w:p>
    <w:tbl>
      <w:tblPr>
        <w:tblW w:w="6304" w:type="dxa"/>
        <w:jc w:val="left"/>
        <w:tblInd w:w="0" w:type="dxa"/>
        <w:tblLayout w:type="fixed"/>
        <w:tblCellMar>
          <w:top w:w="0" w:type="dxa"/>
          <w:left w:w="0" w:type="dxa"/>
          <w:bottom w:w="0" w:type="dxa"/>
          <w:right w:w="0" w:type="dxa"/>
        </w:tblCellMar>
      </w:tblPr>
      <w:tblGrid>
        <w:gridCol w:w="3275"/>
        <w:gridCol w:w="90"/>
        <w:gridCol w:w="170"/>
        <w:gridCol w:w="1010"/>
        <w:gridCol w:w="90"/>
        <w:gridCol w:w="90"/>
        <w:gridCol w:w="207"/>
        <w:gridCol w:w="1237"/>
        <w:gridCol w:w="135"/>
      </w:tblGrid>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3275" w:type="dxa"/>
            <w:tcBorders/>
            <w:shd w:fill="CCEEFF" w:val="clear"/>
            <w:vAlign w:val="center"/>
          </w:tcPr>
          <w:p>
            <w:pPr>
              <w:pStyle w:val="TableContents"/>
              <w:bidi w:val="0"/>
              <w:spacing w:before="0" w:after="283"/>
              <w:jc w:val="left"/>
              <w:rPr/>
            </w:pPr>
            <w:r>
              <w:rPr/>
              <w:t>Land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871,372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871,372</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275" w:type="dxa"/>
            <w:tcBorders/>
            <w:vAlign w:val="center"/>
          </w:tcPr>
          <w:p>
            <w:pPr>
              <w:pStyle w:val="TableContents"/>
              <w:bidi w:val="0"/>
              <w:spacing w:before="0" w:after="283"/>
              <w:jc w:val="left"/>
              <w:rPr/>
            </w:pPr>
            <w:r>
              <w:rPr/>
              <w:t>Building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5,070,561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5,070,561</w:t>
            </w:r>
          </w:p>
        </w:tc>
        <w:tc>
          <w:tcPr>
            <w:tcW w:w="135" w:type="dxa"/>
            <w:tcBorders/>
            <w:vAlign w:val="center"/>
          </w:tcPr>
          <w:p>
            <w:pPr>
              <w:pStyle w:val="TableContents"/>
              <w:bidi w:val="0"/>
              <w:spacing w:before="0" w:after="283"/>
              <w:ind w:left="0" w:right="0" w:hanging="0"/>
              <w:jc w:val="left"/>
              <w:rPr/>
            </w:pPr>
            <w:r>
              <w:rPr/>
              <w:t> </w:t>
            </w:r>
          </w:p>
        </w:tc>
      </w:tr>
      <w:tr>
        <w:trPr/>
        <w:tc>
          <w:tcPr>
            <w:tcW w:w="3275" w:type="dxa"/>
            <w:tcBorders/>
            <w:shd w:fill="CCEEFF" w:val="clear"/>
            <w:vAlign w:val="center"/>
          </w:tcPr>
          <w:p>
            <w:pPr>
              <w:pStyle w:val="TableContents"/>
              <w:bidi w:val="0"/>
              <w:spacing w:before="0" w:after="283"/>
              <w:jc w:val="left"/>
              <w:rPr/>
            </w:pPr>
            <w:r>
              <w:rPr/>
              <w:t>Furniture, fixtures,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27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5,941,933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bottom w:val="double" w:sz="6" w:space="0" w:color="000000"/>
            </w:tcBorders>
            <w:tcMar>
              <w:bottom w:w="28" w:type="dxa"/>
            </w:tcMar>
            <w:vAlign w:val="center"/>
          </w:tcPr>
          <w:p>
            <w:pPr>
              <w:pStyle w:val="TableContents"/>
              <w:bidi w:val="0"/>
              <w:spacing w:before="0" w:after="283"/>
              <w:jc w:val="left"/>
              <w:rPr/>
            </w:pPr>
            <w:r>
              <w:rPr/>
              <w:t>$</w:t>
            </w:r>
          </w:p>
        </w:tc>
        <w:tc>
          <w:tcPr>
            <w:tcW w:w="1237" w:type="dxa"/>
            <w:tcBorders>
              <w:bottom w:val="double" w:sz="6" w:space="0" w:color="000000"/>
            </w:tcBorders>
            <w:tcMar>
              <w:bottom w:w="28" w:type="dxa"/>
            </w:tcMar>
            <w:vAlign w:val="center"/>
          </w:tcPr>
          <w:p>
            <w:pPr>
              <w:pStyle w:val="TableContents"/>
              <w:bidi w:val="0"/>
              <w:spacing w:before="0" w:after="283"/>
              <w:jc w:val="right"/>
              <w:rPr/>
            </w:pPr>
            <w:r>
              <w:rPr/>
              <w:t>5,941,933</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RIGHT OF USE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ROU</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 ASSETS AND LEASE LIABILITIES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OPERATING 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operating leases for offices, warehouses, vehicles, and office equipment. The Company’s leases have remaining lease terms of 1 year to 3 years, some of which include options to extend.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expense for the three months ended June 30, 2025 and 2024 was entirely comprised of operating leases and amounted to $71,566 and $4,633, respectively. The Company’s lease expense for the six months ended June 30, 2025 and 2024 was entirely comprised of operating leases and amounted to $142,432 and $9,266,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ROU asset amortization for the three months ended June 30, 2025 and 2024 was $61,469 and $4,175, respectively. The Company’s ROU asset amortization for the six months ended June 30, 2025 and 2024 was $123,972 and $8,421, respectively. The difference between the lease expense and the associated ROU asset amortization consists of interest.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discount rate for operating leases was 7.00% at June 30, 2025 and December 31, 2024. The weighted-average remaining lease term of operating leases was 2.40 and 2.85 years at June 30, 2025 and December 31, 2024,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 – operating leases are summarized below:</w:t>
      </w:r>
    </w:p>
    <w:p>
      <w:pPr>
        <w:pStyle w:val="TextBody"/>
        <w:bidi w:val="0"/>
        <w:jc w:val="left"/>
        <w:rPr>
          <w:caps w:val="false"/>
          <w:smallCaps w:val="false"/>
        </w:rPr>
      </w:pPr>
      <w:r>
        <w:rPr>
          <w:caps w:val="false"/>
          <w:smallCaps w:val="false"/>
        </w:rPr>
        <w:t> </w:t>
      </w:r>
    </w:p>
    <w:tbl>
      <w:tblPr>
        <w:tblW w:w="5263" w:type="dxa"/>
        <w:jc w:val="left"/>
        <w:tblInd w:w="0" w:type="dxa"/>
        <w:tblLayout w:type="fixed"/>
        <w:tblCellMar>
          <w:top w:w="0" w:type="dxa"/>
          <w:left w:w="0" w:type="dxa"/>
          <w:bottom w:w="0" w:type="dxa"/>
          <w:right w:w="0" w:type="dxa"/>
        </w:tblCellMar>
      </w:tblPr>
      <w:tblGrid>
        <w:gridCol w:w="2225"/>
        <w:gridCol w:w="90"/>
        <w:gridCol w:w="191"/>
        <w:gridCol w:w="938"/>
        <w:gridCol w:w="90"/>
        <w:gridCol w:w="90"/>
        <w:gridCol w:w="255"/>
        <w:gridCol w:w="1249"/>
        <w:gridCol w:w="135"/>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2225" w:type="dxa"/>
            <w:tcBorders/>
            <w:shd w:fill="CCEEFF" w:val="clear"/>
            <w:vAlign w:val="center"/>
          </w:tcPr>
          <w:p>
            <w:pPr>
              <w:pStyle w:val="TableContents"/>
              <w:bidi w:val="0"/>
              <w:spacing w:before="0" w:after="283"/>
              <w:jc w:val="left"/>
              <w:rPr/>
            </w:pPr>
            <w:r>
              <w:rPr/>
              <w:t>Building</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464,149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565,931</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225" w:type="dxa"/>
            <w:tcBorders/>
            <w:vAlign w:val="center"/>
          </w:tcPr>
          <w:p>
            <w:pPr>
              <w:pStyle w:val="TableContents"/>
              <w:bidi w:val="0"/>
              <w:spacing w:before="0" w:after="283"/>
              <w:jc w:val="left"/>
              <w:rPr/>
            </w:pPr>
            <w:r>
              <w:rPr/>
              <w:t>Vehicles</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114,977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128,158</w:t>
            </w:r>
          </w:p>
        </w:tc>
        <w:tc>
          <w:tcPr>
            <w:tcW w:w="135" w:type="dxa"/>
            <w:tcBorders/>
            <w:vAlign w:val="center"/>
          </w:tcPr>
          <w:p>
            <w:pPr>
              <w:pStyle w:val="TableContents"/>
              <w:bidi w:val="0"/>
              <w:spacing w:before="0" w:after="283"/>
              <w:ind w:left="0" w:right="0" w:hanging="0"/>
              <w:jc w:val="left"/>
              <w:rPr/>
            </w:pPr>
            <w:r>
              <w:rPr/>
              <w:t> </w:t>
            </w:r>
          </w:p>
        </w:tc>
      </w:tr>
      <w:tr>
        <w:trPr/>
        <w:tc>
          <w:tcPr>
            <w:tcW w:w="2225" w:type="dxa"/>
            <w:tcBorders/>
            <w:shd w:fill="CCEEFF" w:val="clear"/>
            <w:vAlign w:val="center"/>
          </w:tcPr>
          <w:p>
            <w:pPr>
              <w:pStyle w:val="TableContents"/>
              <w:bidi w:val="0"/>
              <w:spacing w:before="0" w:after="283"/>
              <w:jc w:val="left"/>
              <w:rPr/>
            </w:pPr>
            <w:r>
              <w:rPr/>
              <w:t>Warehouse equipment</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631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7,950</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225" w:type="dxa"/>
            <w:tcBorders/>
            <w:vAlign w:val="center"/>
          </w:tcPr>
          <w:p>
            <w:pPr>
              <w:pStyle w:val="TableContents"/>
              <w:bidi w:val="0"/>
              <w:spacing w:before="0" w:after="283"/>
              <w:jc w:val="left"/>
              <w:rPr/>
            </w:pPr>
            <w:r>
              <w:rPr/>
              <w:t>Office equipment</w:t>
            </w:r>
          </w:p>
        </w:tc>
        <w:tc>
          <w:tcPr>
            <w:tcW w:w="90" w:type="dxa"/>
            <w:tcBorders/>
            <w:vAlign w:val="center"/>
          </w:tcPr>
          <w:p>
            <w:pPr>
              <w:pStyle w:val="TableContents"/>
              <w:bidi w:val="0"/>
              <w:spacing w:before="0" w:after="283"/>
              <w:jc w:val="left"/>
              <w:rPr/>
            </w:pPr>
            <w:r>
              <w:rPr/>
              <w:t> </w:t>
            </w:r>
          </w:p>
        </w:tc>
        <w:tc>
          <w:tcPr>
            <w:tcW w:w="191"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tcMar>
              <w:bottom w:w="28" w:type="dxa"/>
            </w:tcMar>
            <w:vAlign w:val="center"/>
          </w:tcPr>
          <w:p>
            <w:pPr>
              <w:pStyle w:val="TableContents"/>
              <w:bidi w:val="0"/>
              <w:spacing w:before="0" w:after="283"/>
              <w:jc w:val="right"/>
              <w:rPr/>
            </w:pPr>
            <w:r>
              <w:rPr/>
              <w:t>1,747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bottom w:val="single" w:sz="8" w:space="0" w:color="000000"/>
            </w:tcBorders>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tcMar>
              <w:bottom w:w="28" w:type="dxa"/>
            </w:tcMar>
            <w:vAlign w:val="center"/>
          </w:tcPr>
          <w:p>
            <w:pPr>
              <w:pStyle w:val="TableContents"/>
              <w:bidi w:val="0"/>
              <w:spacing w:before="0" w:after="283"/>
              <w:jc w:val="right"/>
              <w:rPr/>
            </w:pPr>
            <w:r>
              <w:rPr/>
              <w:t>3,437</w:t>
            </w:r>
          </w:p>
        </w:tc>
        <w:tc>
          <w:tcPr>
            <w:tcW w:w="135" w:type="dxa"/>
            <w:tcBorders/>
            <w:vAlign w:val="center"/>
          </w:tcPr>
          <w:p>
            <w:pPr>
              <w:pStyle w:val="TableContents"/>
              <w:bidi w:val="0"/>
              <w:spacing w:before="0" w:after="283"/>
              <w:ind w:left="0" w:right="0" w:hanging="0"/>
              <w:jc w:val="left"/>
              <w:rPr/>
            </w:pPr>
            <w:r>
              <w:rPr/>
              <w:t> </w:t>
            </w:r>
          </w:p>
        </w:tc>
      </w:tr>
      <w:tr>
        <w:trPr/>
        <w:tc>
          <w:tcPr>
            <w:tcW w:w="2225" w:type="dxa"/>
            <w:tcBorders/>
            <w:shd w:fill="CCEEFF" w:val="clear"/>
            <w:vAlign w:val="center"/>
          </w:tcPr>
          <w:p>
            <w:pPr>
              <w:pStyle w:val="TableContents"/>
              <w:bidi w:val="0"/>
              <w:spacing w:before="0" w:after="283"/>
              <w:jc w:val="left"/>
              <w:rPr/>
            </w:pPr>
            <w:r>
              <w:rPr/>
              <w:t>Right of use assets, net</w:t>
            </w:r>
          </w:p>
        </w:tc>
        <w:tc>
          <w:tcPr>
            <w:tcW w:w="9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581,504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6" w:space="0" w:color="000000"/>
            </w:tcBorders>
            <w:shd w:fill="CCEEFF" w:val="clear"/>
            <w:tcMar>
              <w:bottom w:w="28" w:type="dxa"/>
            </w:tcMar>
            <w:vAlign w:val="center"/>
          </w:tcPr>
          <w:p>
            <w:pPr>
              <w:pStyle w:val="TableContents"/>
              <w:bidi w:val="0"/>
              <w:spacing w:before="0" w:after="283"/>
              <w:jc w:val="right"/>
              <w:rPr/>
            </w:pPr>
            <w:r>
              <w:rPr/>
              <w:t>705,476</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are summarized below:</w:t>
      </w:r>
    </w:p>
    <w:p>
      <w:pPr>
        <w:pStyle w:val="TextBody"/>
        <w:bidi w:val="0"/>
        <w:jc w:val="left"/>
        <w:rPr>
          <w:caps w:val="false"/>
          <w:smallCaps w:val="false"/>
        </w:rPr>
      </w:pPr>
      <w:r>
        <w:rPr>
          <w:caps w:val="false"/>
          <w:smallCaps w:val="false"/>
        </w:rPr>
        <w:t> </w:t>
      </w:r>
    </w:p>
    <w:tbl>
      <w:tblPr>
        <w:tblW w:w="5649" w:type="dxa"/>
        <w:jc w:val="left"/>
        <w:tblInd w:w="0" w:type="dxa"/>
        <w:tblLayout w:type="fixed"/>
        <w:tblCellMar>
          <w:top w:w="0" w:type="dxa"/>
          <w:left w:w="0" w:type="dxa"/>
          <w:bottom w:w="0" w:type="dxa"/>
          <w:right w:w="0" w:type="dxa"/>
        </w:tblCellMar>
      </w:tblPr>
      <w:tblGrid>
        <w:gridCol w:w="2600"/>
        <w:gridCol w:w="90"/>
        <w:gridCol w:w="178"/>
        <w:gridCol w:w="951"/>
        <w:gridCol w:w="125"/>
        <w:gridCol w:w="90"/>
        <w:gridCol w:w="228"/>
        <w:gridCol w:w="1217"/>
        <w:gridCol w:w="170"/>
      </w:tblGrid>
      <w:tr>
        <w:trPr/>
        <w:tc>
          <w:tcPr>
            <w:tcW w:w="2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283"/>
              <w:jc w:val="left"/>
              <w:rPr/>
            </w:pPr>
            <w:r>
              <w:rPr/>
              <w:t>Building</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470,462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567,684</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vAlign w:val="center"/>
          </w:tcPr>
          <w:p>
            <w:pPr>
              <w:pStyle w:val="TableContents"/>
              <w:bidi w:val="0"/>
              <w:spacing w:before="0" w:after="283"/>
              <w:jc w:val="left"/>
              <w:rPr/>
            </w:pPr>
            <w:r>
              <w:rPr/>
              <w:t>Vehicles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114,978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pPr>
            <w:r>
              <w:rPr/>
              <w:t>128,158</w:t>
            </w:r>
          </w:p>
        </w:tc>
        <w:tc>
          <w:tcPr>
            <w:tcW w:w="170" w:type="dxa"/>
            <w:tcBorders/>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283"/>
              <w:jc w:val="left"/>
              <w:rPr/>
            </w:pPr>
            <w:r>
              <w:rPr/>
              <w:t>Warehouse equipment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631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7,950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vAlign w:val="center"/>
          </w:tcPr>
          <w:p>
            <w:pPr>
              <w:pStyle w:val="TableContents"/>
              <w:bidi w:val="0"/>
              <w:spacing w:before="0" w:after="283"/>
              <w:jc w:val="left"/>
              <w:rPr/>
            </w:pPr>
            <w:r>
              <w:rPr/>
              <w:t>Office equipment</w:t>
            </w:r>
          </w:p>
        </w:tc>
        <w:tc>
          <w:tcPr>
            <w:tcW w:w="9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tcMar>
              <w:bottom w:w="28" w:type="dxa"/>
            </w:tcMar>
            <w:vAlign w:val="center"/>
          </w:tcPr>
          <w:p>
            <w:pPr>
              <w:pStyle w:val="TableContents"/>
              <w:bidi w:val="0"/>
              <w:spacing w:before="0" w:after="283"/>
              <w:jc w:val="right"/>
              <w:rPr/>
            </w:pPr>
            <w:r>
              <w:rPr/>
              <w:t>1,747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tcMar>
              <w:bottom w:w="28" w:type="dxa"/>
            </w:tcMar>
            <w:vAlign w:val="center"/>
          </w:tcPr>
          <w:p>
            <w:pPr>
              <w:pStyle w:val="TableContents"/>
              <w:bidi w:val="0"/>
              <w:spacing w:before="0" w:after="283"/>
              <w:jc w:val="right"/>
              <w:rPr/>
            </w:pPr>
            <w:r>
              <w:rPr/>
              <w:t>3,437</w:t>
            </w:r>
          </w:p>
        </w:tc>
        <w:tc>
          <w:tcPr>
            <w:tcW w:w="170" w:type="dxa"/>
            <w:tcBorders/>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283"/>
              <w:jc w:val="left"/>
              <w:rPr/>
            </w:pPr>
            <w:r>
              <w:rPr/>
              <w:t>Lease liability</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587,818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707,229</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vAlign w:val="center"/>
          </w:tcPr>
          <w:p>
            <w:pPr>
              <w:pStyle w:val="TableContents"/>
              <w:bidi w:val="0"/>
              <w:spacing w:before="0" w:after="283"/>
              <w:jc w:val="left"/>
              <w:rPr/>
            </w:pPr>
            <w:r>
              <w:rPr/>
              <w:t>Less: current portion</w:t>
            </w:r>
          </w:p>
        </w:tc>
        <w:tc>
          <w:tcPr>
            <w:tcW w:w="9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tcMar>
              <w:bottom w:w="28" w:type="dxa"/>
            </w:tcMar>
            <w:vAlign w:val="center"/>
          </w:tcPr>
          <w:p>
            <w:pPr>
              <w:pStyle w:val="TableContents"/>
              <w:bidi w:val="0"/>
              <w:spacing w:before="0" w:after="283"/>
              <w:jc w:val="right"/>
              <w:rPr/>
            </w:pPr>
            <w:r>
              <w:rPr/>
              <w:t>(242,975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8" w:type="dxa"/>
            <w:tcBorders>
              <w:bottom w:val="single" w:sz="8" w:space="0" w:color="000000"/>
            </w:tcBorders>
            <w:tcMar>
              <w:bottom w:w="28" w:type="dxa"/>
            </w:tcMar>
            <w:vAlign w:val="center"/>
          </w:tcPr>
          <w:p>
            <w:pPr>
              <w:pStyle w:val="TableContents"/>
              <w:bidi w:val="0"/>
              <w:spacing w:before="0" w:after="283"/>
              <w:jc w:val="left"/>
              <w:rPr/>
            </w:pPr>
            <w:r>
              <w:rPr/>
              <w:t> </w:t>
            </w:r>
          </w:p>
        </w:tc>
        <w:tc>
          <w:tcPr>
            <w:tcW w:w="1217" w:type="dxa"/>
            <w:tcBorders>
              <w:bottom w:val="single" w:sz="8" w:space="0" w:color="000000"/>
            </w:tcBorders>
            <w:tcMar>
              <w:bottom w:w="28" w:type="dxa"/>
            </w:tcMar>
            <w:vAlign w:val="center"/>
          </w:tcPr>
          <w:p>
            <w:pPr>
              <w:pStyle w:val="TableContents"/>
              <w:bidi w:val="0"/>
              <w:spacing w:before="0" w:after="283"/>
              <w:jc w:val="right"/>
              <w:rPr/>
            </w:pPr>
            <w:r>
              <w:rPr/>
              <w:t>(239,660</w:t>
            </w:r>
          </w:p>
        </w:tc>
        <w:tc>
          <w:tcPr>
            <w:tcW w:w="170" w:type="dxa"/>
            <w:tcBorders/>
            <w:vAlign w:val="center"/>
          </w:tcPr>
          <w:p>
            <w:pPr>
              <w:pStyle w:val="TableContents"/>
              <w:bidi w:val="0"/>
              <w:spacing w:before="0" w:after="283"/>
              <w:ind w:left="0" w:right="0" w:hanging="0"/>
              <w:jc w:val="left"/>
              <w:rPr/>
            </w:pPr>
            <w:r>
              <w:rPr/>
              <w:t>)</w:t>
            </w:r>
          </w:p>
        </w:tc>
      </w:tr>
      <w:tr>
        <w:trPr/>
        <w:tc>
          <w:tcPr>
            <w:tcW w:w="2600" w:type="dxa"/>
            <w:tcBorders/>
            <w:shd w:fill="CCEEFF" w:val="clear"/>
            <w:vAlign w:val="center"/>
          </w:tcPr>
          <w:p>
            <w:pPr>
              <w:pStyle w:val="TableContents"/>
              <w:bidi w:val="0"/>
              <w:spacing w:before="0" w:after="283"/>
              <w:jc w:val="left"/>
              <w:rPr/>
            </w:pPr>
            <w:r>
              <w:rPr/>
              <w:t>Lease liability, non-current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344,843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7" w:type="dxa"/>
            <w:tcBorders>
              <w:bottom w:val="double" w:sz="6" w:space="0" w:color="000000"/>
            </w:tcBorders>
            <w:shd w:fill="CCEEFF" w:val="clear"/>
            <w:tcMar>
              <w:bottom w:w="28" w:type="dxa"/>
            </w:tcMar>
            <w:vAlign w:val="center"/>
          </w:tcPr>
          <w:p>
            <w:pPr>
              <w:pStyle w:val="TableContents"/>
              <w:bidi w:val="0"/>
              <w:spacing w:before="0" w:after="283"/>
              <w:jc w:val="right"/>
              <w:rPr/>
            </w:pPr>
            <w:r>
              <w:rPr/>
              <w:t>467,569</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analysis under these lease agreements are as follows:</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3425"/>
        <w:gridCol w:w="90"/>
        <w:gridCol w:w="170"/>
        <w:gridCol w:w="830"/>
        <w:gridCol w:w="170"/>
      </w:tblGrid>
      <w:tr>
        <w:trPr/>
        <w:tc>
          <w:tcPr>
            <w:tcW w:w="3425" w:type="dxa"/>
            <w:tcBorders/>
            <w:shd w:fill="CCEEFF" w:val="clear"/>
            <w:vAlign w:val="center"/>
          </w:tcPr>
          <w:p>
            <w:pPr>
              <w:pStyle w:val="TableContents"/>
              <w:bidi w:val="0"/>
              <w:spacing w:before="0" w:after="283"/>
              <w:ind w:left="0" w:right="0" w:hanging="0"/>
              <w:jc w:val="left"/>
              <w:rPr/>
            </w:pPr>
            <w:r>
              <w:rPr/>
              <w:t>For the period ended June 30,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276,393</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vAlign w:val="center"/>
          </w:tcPr>
          <w:p>
            <w:pPr>
              <w:pStyle w:val="TableContents"/>
              <w:bidi w:val="0"/>
              <w:spacing w:before="0" w:after="283"/>
              <w:jc w:val="left"/>
              <w:rPr/>
            </w:pPr>
            <w:r>
              <w:rPr/>
              <w:t>For the period ended June 30, 2027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282,036</w:t>
            </w:r>
          </w:p>
        </w:tc>
        <w:tc>
          <w:tcPr>
            <w:tcW w:w="170" w:type="dxa"/>
            <w:tcBorders/>
            <w:vAlign w:val="center"/>
          </w:tcPr>
          <w:p>
            <w:pPr>
              <w:pStyle w:val="TableContents"/>
              <w:bidi w:val="0"/>
              <w:spacing w:before="0" w:after="283"/>
              <w:ind w:left="0" w:right="0" w:hanging="0"/>
              <w:jc w:val="left"/>
              <w:rPr/>
            </w:pPr>
            <w:r>
              <w:rPr/>
              <w:t> </w:t>
            </w:r>
          </w:p>
        </w:tc>
      </w:tr>
      <w:tr>
        <w:trPr/>
        <w:tc>
          <w:tcPr>
            <w:tcW w:w="3425" w:type="dxa"/>
            <w:tcBorders/>
            <w:shd w:fill="CCEEFF" w:val="clear"/>
            <w:vAlign w:val="center"/>
          </w:tcPr>
          <w:p>
            <w:pPr>
              <w:pStyle w:val="TableContents"/>
              <w:bidi w:val="0"/>
              <w:spacing w:before="0" w:after="283"/>
              <w:jc w:val="left"/>
              <w:rPr/>
            </w:pPr>
            <w:r>
              <w:rPr/>
              <w:t>For the period ended June 30, 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56,199</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vAlign w:val="center"/>
          </w:tcPr>
          <w:p>
            <w:pPr>
              <w:pStyle w:val="TableContents"/>
              <w:bidi w:val="0"/>
              <w:spacing w:before="0" w:after="283"/>
              <w:jc w:val="left"/>
              <w:rPr/>
            </w:pPr>
            <w:r>
              <w:rPr/>
              <w:t>For the period ended June 30, 2029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26,212</w:t>
            </w:r>
          </w:p>
        </w:tc>
        <w:tc>
          <w:tcPr>
            <w:tcW w:w="170" w:type="dxa"/>
            <w:tcBorders/>
            <w:vAlign w:val="center"/>
          </w:tcPr>
          <w:p>
            <w:pPr>
              <w:pStyle w:val="TableContents"/>
              <w:bidi w:val="0"/>
              <w:spacing w:before="0" w:after="283"/>
              <w:ind w:left="0" w:right="0" w:hanging="0"/>
              <w:jc w:val="left"/>
              <w:rPr/>
            </w:pPr>
            <w:r>
              <w:rPr/>
              <w:t> </w:t>
            </w:r>
          </w:p>
        </w:tc>
      </w:tr>
      <w:tr>
        <w:trPr/>
        <w:tc>
          <w:tcPr>
            <w:tcW w:w="3425" w:type="dxa"/>
            <w:tcBorders/>
            <w:shd w:fill="CCEEFF" w:val="clear"/>
            <w:vAlign w:val="center"/>
          </w:tcPr>
          <w:p>
            <w:pPr>
              <w:pStyle w:val="TableContents"/>
              <w:bidi w:val="0"/>
              <w:spacing w:before="0" w:after="283"/>
              <w:jc w:val="left"/>
              <w:rPr/>
            </w:pPr>
            <w:r>
              <w:rPr/>
              <w:t>For the period ended June 30, 2030</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640,840</w:t>
            </w:r>
          </w:p>
        </w:tc>
        <w:tc>
          <w:tcPr>
            <w:tcW w:w="170" w:type="dxa"/>
            <w:tcBorders/>
            <w:vAlign w:val="center"/>
          </w:tcPr>
          <w:p>
            <w:pPr>
              <w:pStyle w:val="TableContents"/>
              <w:bidi w:val="0"/>
              <w:spacing w:before="0" w:after="283"/>
              <w:ind w:left="0" w:right="0" w:hanging="0"/>
              <w:jc w:val="left"/>
              <w:rPr/>
            </w:pPr>
            <w:r>
              <w:rPr/>
              <w:t> </w:t>
            </w:r>
          </w:p>
        </w:tc>
      </w:tr>
      <w:tr>
        <w:trPr/>
        <w:tc>
          <w:tcPr>
            <w:tcW w:w="3425" w:type="dxa"/>
            <w:tcBorders/>
            <w:shd w:fill="CCEEFF" w:val="clear"/>
            <w:vAlign w:val="center"/>
          </w:tcPr>
          <w:p>
            <w:pPr>
              <w:pStyle w:val="TableContents"/>
              <w:bidi w:val="0"/>
              <w:spacing w:before="0" w:after="283"/>
              <w:jc w:val="left"/>
              <w:rPr/>
            </w:pPr>
            <w:r>
              <w:rPr/>
              <w:t>Less: Present value discount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(53,022</w:t>
            </w:r>
          </w:p>
        </w:tc>
        <w:tc>
          <w:tcPr>
            <w:tcW w:w="170" w:type="dxa"/>
            <w:tcBorders/>
            <w:shd w:fill="CCEEFF" w:val="clear"/>
            <w:vAlign w:val="center"/>
          </w:tcPr>
          <w:p>
            <w:pPr>
              <w:pStyle w:val="TableContents"/>
              <w:bidi w:val="0"/>
              <w:spacing w:before="0" w:after="283"/>
              <w:ind w:left="0" w:right="0" w:hanging="0"/>
              <w:jc w:val="left"/>
              <w:rPr/>
            </w:pPr>
            <w:r>
              <w:rPr/>
              <w:t>)</w:t>
            </w:r>
          </w:p>
        </w:tc>
      </w:tr>
      <w:tr>
        <w:trPr/>
        <w:tc>
          <w:tcPr>
            <w:tcW w:w="3425" w:type="dxa"/>
            <w:tcBorders/>
            <w:vAlign w:val="center"/>
          </w:tcPr>
          <w:p>
            <w:pPr>
              <w:pStyle w:val="TableContents"/>
              <w:bidi w:val="0"/>
              <w:spacing w:before="0" w:after="283"/>
              <w:jc w:val="left"/>
              <w:rPr/>
            </w:pPr>
            <w:r>
              <w:rPr/>
              <w:t>Lease liability</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587,818</w:t>
            </w:r>
          </w:p>
        </w:tc>
        <w:tc>
          <w:tcPr>
            <w:tcW w:w="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RIGHT OF USE ASSETS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FINANCING LEASES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financing leases for vehicles and warehouse equipment. Right of use asset – financing leases are summarized below:</w:t>
      </w:r>
    </w:p>
    <w:p>
      <w:pPr>
        <w:pStyle w:val="TextBody"/>
        <w:bidi w:val="0"/>
        <w:jc w:val="left"/>
        <w:rPr>
          <w:caps w:val="false"/>
          <w:smallCaps w:val="false"/>
        </w:rPr>
      </w:pPr>
      <w:r>
        <w:rPr>
          <w:caps w:val="false"/>
          <w:smallCaps w:val="false"/>
        </w:rPr>
        <w:t> </w:t>
      </w:r>
    </w:p>
    <w:tbl>
      <w:tblPr>
        <w:tblW w:w="6839" w:type="dxa"/>
        <w:jc w:val="left"/>
        <w:tblInd w:w="0" w:type="dxa"/>
        <w:tblLayout w:type="fixed"/>
        <w:tblCellMar>
          <w:top w:w="0" w:type="dxa"/>
          <w:left w:w="0" w:type="dxa"/>
          <w:bottom w:w="0" w:type="dxa"/>
          <w:right w:w="0" w:type="dxa"/>
        </w:tblCellMar>
      </w:tblPr>
      <w:tblGrid>
        <w:gridCol w:w="3680"/>
        <w:gridCol w:w="90"/>
        <w:gridCol w:w="170"/>
        <w:gridCol w:w="1010"/>
        <w:gridCol w:w="125"/>
        <w:gridCol w:w="90"/>
        <w:gridCol w:w="216"/>
        <w:gridCol w:w="1288"/>
        <w:gridCol w:w="170"/>
      </w:tblGrid>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3680" w:type="dxa"/>
            <w:tcBorders/>
            <w:shd w:fill="CCEEFF" w:val="clear"/>
            <w:vAlign w:val="center"/>
          </w:tcPr>
          <w:p>
            <w:pPr>
              <w:pStyle w:val="TableContents"/>
              <w:bidi w:val="0"/>
              <w:spacing w:before="0" w:after="283"/>
              <w:jc w:val="left"/>
              <w:rPr/>
            </w:pPr>
            <w:r>
              <w:rPr/>
              <w:t>Vehicles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404,858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404,858</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680" w:type="dxa"/>
            <w:tcBorders/>
            <w:vAlign w:val="center"/>
          </w:tcPr>
          <w:p>
            <w:pPr>
              <w:pStyle w:val="TableContents"/>
              <w:bidi w:val="0"/>
              <w:spacing w:before="0" w:after="283"/>
              <w:jc w:val="left"/>
              <w:rPr/>
            </w:pPr>
            <w:r>
              <w:rPr/>
              <w:t>Warehouse equipment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736,156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tcMar>
              <w:bottom w:w="28" w:type="dxa"/>
            </w:tcMar>
            <w:vAlign w:val="center"/>
          </w:tcPr>
          <w:p>
            <w:pPr>
              <w:pStyle w:val="TableContents"/>
              <w:bidi w:val="0"/>
              <w:spacing w:before="0" w:after="283"/>
              <w:jc w:val="right"/>
              <w:rPr/>
            </w:pPr>
            <w:r>
              <w:rPr/>
              <w:t>736,156</w:t>
            </w:r>
          </w:p>
        </w:tc>
        <w:tc>
          <w:tcPr>
            <w:tcW w:w="170" w:type="dxa"/>
            <w:tcBorders/>
            <w:vAlign w:val="center"/>
          </w:tcPr>
          <w:p>
            <w:pPr>
              <w:pStyle w:val="TableContents"/>
              <w:bidi w:val="0"/>
              <w:spacing w:before="0" w:after="283"/>
              <w:ind w:left="0" w:right="0" w:hanging="0"/>
              <w:jc w:val="left"/>
              <w:rPr/>
            </w:pPr>
            <w:r>
              <w:rPr/>
              <w:t> </w:t>
            </w:r>
          </w:p>
        </w:tc>
      </w:tr>
      <w:tr>
        <w:trPr/>
        <w:tc>
          <w:tcPr>
            <w:tcW w:w="3680" w:type="dxa"/>
            <w:tcBorders/>
            <w:shd w:fill="CCEEFF" w:val="clear"/>
            <w:vAlign w:val="center"/>
          </w:tcPr>
          <w:p>
            <w:pPr>
              <w:pStyle w:val="TableContents"/>
              <w:bidi w:val="0"/>
              <w:spacing w:before="0" w:after="283"/>
              <w:jc w:val="left"/>
              <w:rPr/>
            </w:pPr>
            <w:r>
              <w:rPr/>
              <w:t>Total before accumulated depreciation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1,141,014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1,141,014</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680" w:type="dxa"/>
            <w:tcBorders/>
            <w:vAlign w:val="center"/>
          </w:tcPr>
          <w:p>
            <w:pPr>
              <w:pStyle w:val="TableContents"/>
              <w:bidi w:val="0"/>
              <w:spacing w:before="0" w:after="283"/>
              <w:jc w:val="left"/>
              <w:rPr/>
            </w:pPr>
            <w:r>
              <w:rPr/>
              <w:t>Less: accumulated depreciation</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(676,507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tcMar>
              <w:bottom w:w="28" w:type="dxa"/>
            </w:tcMar>
            <w:vAlign w:val="center"/>
          </w:tcPr>
          <w:p>
            <w:pPr>
              <w:pStyle w:val="TableContents"/>
              <w:bidi w:val="0"/>
              <w:spacing w:before="0" w:after="283"/>
              <w:jc w:val="right"/>
              <w:rPr/>
            </w:pPr>
            <w:r>
              <w:rPr/>
              <w:t>(616,741</w:t>
            </w:r>
          </w:p>
        </w:tc>
        <w:tc>
          <w:tcPr>
            <w:tcW w:w="170" w:type="dxa"/>
            <w:tcBorders/>
            <w:vAlign w:val="center"/>
          </w:tcPr>
          <w:p>
            <w:pPr>
              <w:pStyle w:val="TableContents"/>
              <w:bidi w:val="0"/>
              <w:spacing w:before="0" w:after="283"/>
              <w:ind w:left="0" w:right="0" w:hanging="0"/>
              <w:jc w:val="left"/>
              <w:rPr/>
            </w:pPr>
            <w:r>
              <w:rPr/>
              <w:t>)</w:t>
            </w:r>
          </w:p>
        </w:tc>
      </w:tr>
      <w:tr>
        <w:trPr/>
        <w:tc>
          <w:tcPr>
            <w:tcW w:w="368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464,507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524,273</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related to right of use assets for the three months ended June 30, 2025 and 2024 was $29,883 and $4,061, respectively. Depreciation expense related to right of use assets for the six months ended June 30, 2025 and 2024 was $59,766 and $28,976,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interest rate for financing leases was 5.78% at June 30, 2025 and 5.83 % at December 31, 2024. The weighted-average remaining lease term of financing leases was 2.57 and 2.80 years at June 30, 2025 and December 31, 2024,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lease liabilities are summarized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95"/>
        <w:gridCol w:w="90"/>
        <w:gridCol w:w="179"/>
        <w:gridCol w:w="880"/>
        <w:gridCol w:w="90"/>
        <w:gridCol w:w="90"/>
        <w:gridCol w:w="245"/>
        <w:gridCol w:w="1200"/>
        <w:gridCol w:w="136"/>
      </w:tblGrid>
      <w:tr>
        <w:trPr/>
        <w:tc>
          <w:tcPr>
            <w:tcW w:w="7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136" w:type="dxa"/>
            <w:tcBorders/>
            <w:vAlign w:val="center"/>
          </w:tcPr>
          <w:p>
            <w:pPr>
              <w:pStyle w:val="TableContents"/>
              <w:bidi w:val="0"/>
              <w:spacing w:before="0" w:after="283"/>
              <w:jc w:val="left"/>
              <w:rPr/>
            </w:pPr>
            <w:r>
              <w:rPr/>
              <w:t> </w:t>
            </w:r>
          </w:p>
        </w:tc>
      </w:tr>
      <w:tr>
        <w:trPr/>
        <w:tc>
          <w:tcPr>
            <w:tcW w:w="7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136" w:type="dxa"/>
            <w:tcBorders/>
            <w:vAlign w:val="center"/>
          </w:tcPr>
          <w:p>
            <w:pPr>
              <w:pStyle w:val="TableContents"/>
              <w:bidi w:val="0"/>
              <w:spacing w:before="0" w:after="283"/>
              <w:ind w:left="0" w:right="0" w:hanging="0"/>
              <w:jc w:val="left"/>
              <w:rPr/>
            </w:pPr>
            <w:r>
              <w:rPr/>
              <w:t> </w:t>
            </w:r>
          </w:p>
        </w:tc>
      </w:tr>
      <w:tr>
        <w:trPr/>
        <w:tc>
          <w:tcPr>
            <w:tcW w:w="7295" w:type="dxa"/>
            <w:tcBorders/>
            <w:shd w:fill="CCEEFF" w:val="clear"/>
            <w:vAlign w:val="center"/>
          </w:tcPr>
          <w:p>
            <w:pPr>
              <w:pStyle w:val="TableContents"/>
              <w:bidi w:val="0"/>
              <w:spacing w:before="0" w:after="283"/>
              <w:jc w:val="left"/>
              <w:rPr/>
            </w:pPr>
            <w:r>
              <w:rPr/>
              <w:t>Financing lease obligation under a lease agreement for warehouse furniture and equipment truck dated October 14, 2020 in the original amount of $514,173 payable in sixty monthly installments of $9,942 including interest at the rate of 6.01%. During the three months ended June 30, 2025, the Company made principal and interest payments on this lease obligation in the amount of $29,091 and $735, respectively; during the six months ended June 30, 2025, the Company made principal and interest payments on this lease obligation in the amount of $57,748 and $1,903, respectively.</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29,530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87,278</w:t>
            </w:r>
          </w:p>
        </w:tc>
        <w:tc>
          <w:tcPr>
            <w:tcW w:w="136" w:type="dxa"/>
            <w:tcBorders/>
            <w:shd w:fill="CCEEFF" w:val="clear"/>
            <w:vAlign w:val="center"/>
          </w:tcPr>
          <w:p>
            <w:pPr>
              <w:pStyle w:val="TableContents"/>
              <w:bidi w:val="0"/>
              <w:spacing w:before="0" w:after="283"/>
              <w:ind w:left="0" w:right="0" w:hanging="0"/>
              <w:jc w:val="left"/>
              <w:rPr/>
            </w:pPr>
            <w:r>
              <w:rPr/>
              <w:t> </w:t>
            </w:r>
          </w:p>
        </w:tc>
      </w:tr>
      <w:tr>
        <w:trPr/>
        <w:tc>
          <w:tcPr>
            <w:tcW w:w="7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0"/>
              <w:jc w:val="left"/>
              <w:rPr/>
            </w:pPr>
            <w:r>
              <w:rPr/>
              <w:t> </w:t>
            </w:r>
          </w:p>
        </w:tc>
      </w:tr>
      <w:tr>
        <w:trPr/>
        <w:tc>
          <w:tcPr>
            <w:tcW w:w="7295" w:type="dxa"/>
            <w:tcBorders/>
            <w:shd w:fill="CCEEFF" w:val="clear"/>
            <w:vAlign w:val="center"/>
          </w:tcPr>
          <w:p>
            <w:pPr>
              <w:pStyle w:val="TableContents"/>
              <w:bidi w:val="0"/>
              <w:spacing w:before="0" w:after="283"/>
              <w:jc w:val="left"/>
              <w:rPr/>
            </w:pPr>
            <w:r>
              <w:rPr/>
              <w:t>Financing lease obligation under a lease agreement for a truck dated March 31, 2020 in the original amount of $152,548 payable in eighty-four monthly installments of $2,188 including interest at the rate of 5.44%. During the three months ended June 30, 2025, the Company made principal and interest payments on this lease obligation in the amounts of $5,942 and $622, respectively; during the six months ended June 30, 2025, the Company made principal and interest payments on this lease obligation in the amounts of $11,804 and $1,324, respectively. During the three months ended June 30, 2024, the Company made principal and interest payments on this lease obligation in the amount of $27,399 and $2,427, respectively; during the six months ended June 30, 2024, the Company made principal and interest payments on this lease obligation in the amount of $54,385 and $5,261, respectively.</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41,745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53,549</w:t>
            </w:r>
          </w:p>
        </w:tc>
        <w:tc>
          <w:tcPr>
            <w:tcW w:w="136" w:type="dxa"/>
            <w:tcBorders/>
            <w:shd w:fill="CCEEFF" w:val="clear"/>
            <w:vAlign w:val="center"/>
          </w:tcPr>
          <w:p>
            <w:pPr>
              <w:pStyle w:val="TableContents"/>
              <w:bidi w:val="0"/>
              <w:spacing w:before="0" w:after="283"/>
              <w:ind w:left="0" w:right="0" w:hanging="0"/>
              <w:jc w:val="left"/>
              <w:rPr/>
            </w:pPr>
            <w:r>
              <w:rPr/>
              <w:t> </w:t>
            </w:r>
          </w:p>
        </w:tc>
      </w:tr>
      <w:tr>
        <w:trPr/>
        <w:tc>
          <w:tcPr>
            <w:tcW w:w="7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0"/>
              <w:jc w:val="left"/>
              <w:rPr/>
            </w:pPr>
            <w:r>
              <w:rPr/>
              <w:t> </w:t>
            </w:r>
          </w:p>
        </w:tc>
      </w:tr>
      <w:tr>
        <w:trPr/>
        <w:tc>
          <w:tcPr>
            <w:tcW w:w="7295" w:type="dxa"/>
            <w:tcBorders/>
            <w:shd w:fill="CCEEFF" w:val="clear"/>
            <w:vAlign w:val="center"/>
          </w:tcPr>
          <w:p>
            <w:pPr>
              <w:pStyle w:val="TableContents"/>
              <w:bidi w:val="0"/>
              <w:spacing w:before="0" w:after="283"/>
              <w:jc w:val="left"/>
              <w:rPr/>
            </w:pPr>
            <w:r>
              <w:rPr/>
              <w:t>Financing lease obligation under a lease agreement for a truck dated August 23, 2019 in the original amount of $80,413 payable in eighty-four monthly installments of $1,148 including interest at the rate of 5.0%. During the three months ended June 30, 2025, the Company made principal and interest payments on this lease obligation in the amounts of $3,236 and $208, respectively; during the six months ended June 30, 2025, the Company made principal and interest payments on this lease obligation in the amounts of $6,431 and $457, respectively. During the three months ended June 30, 2024, the Company made principal and interest payments on this lease obligation in the amounts of $3,078 and $366, respectively; during the six months ended June 30, 2024, the Company made principal and interest payments on this lease obligation in the amount of $6,120 and $770, respectively.</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14,498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20,929</w:t>
            </w:r>
          </w:p>
        </w:tc>
        <w:tc>
          <w:tcPr>
            <w:tcW w:w="136" w:type="dxa"/>
            <w:tcBorders/>
            <w:shd w:fill="CCEEFF" w:val="clear"/>
            <w:vAlign w:val="center"/>
          </w:tcPr>
          <w:p>
            <w:pPr>
              <w:pStyle w:val="TableContents"/>
              <w:bidi w:val="0"/>
              <w:spacing w:before="0" w:after="283"/>
              <w:ind w:left="0" w:right="0" w:hanging="0"/>
              <w:jc w:val="left"/>
              <w:rPr/>
            </w:pPr>
            <w:r>
              <w:rPr/>
              <w:t> </w:t>
            </w:r>
          </w:p>
        </w:tc>
      </w:tr>
      <w:tr>
        <w:trPr/>
        <w:tc>
          <w:tcPr>
            <w:tcW w:w="7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0"/>
              <w:jc w:val="left"/>
              <w:rPr/>
            </w:pPr>
            <w:r>
              <w:rPr/>
              <w:t> </w:t>
            </w:r>
          </w:p>
        </w:tc>
      </w:tr>
      <w:tr>
        <w:trPr/>
        <w:tc>
          <w:tcPr>
            <w:tcW w:w="7295" w:type="dxa"/>
            <w:tcBorders/>
            <w:shd w:fill="CCEEFF" w:val="clear"/>
            <w:vAlign w:val="center"/>
          </w:tcPr>
          <w:p>
            <w:pPr>
              <w:pStyle w:val="TableContents"/>
              <w:bidi w:val="0"/>
              <w:spacing w:before="0" w:after="283"/>
              <w:jc w:val="left"/>
              <w:rPr/>
            </w:pPr>
            <w:r>
              <w:rPr/>
              <w:t>Financing lease obligation under a lease agreement for warehouse equipment dated September 12, 2024 in the original amount of $180,740 payable in sixty monthly payments in the minimum amount of $2,846 including interest at the rate of 6.01%. The amount of the monthly payments is based upon the amount of supplies and materials the Company purchases from the lessor each month. During the three months ended June 30, 2025, the Company made principal and interest payments on this lease obligation in the amount of $0 and capitalized interest in the amount of $1,130. During the six months ended June 30, 2025, the Company made principal and interest payments on this lease obligation in the amounts of $50,830 and $1,579, respectively, and capitalized interest in the amount of $1,130.</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80" w:type="dxa"/>
            <w:tcBorders>
              <w:bottom w:val="single" w:sz="8" w:space="0" w:color="000000"/>
            </w:tcBorders>
            <w:shd w:fill="CCEEFF" w:val="clear"/>
            <w:tcMar>
              <w:bottom w:w="28" w:type="dxa"/>
            </w:tcMar>
            <w:vAlign w:val="center"/>
          </w:tcPr>
          <w:p>
            <w:pPr>
              <w:pStyle w:val="TableContents"/>
              <w:bidi w:val="0"/>
              <w:spacing w:before="0" w:after="283"/>
              <w:jc w:val="right"/>
              <w:rPr/>
            </w:pPr>
            <w:r>
              <w:rPr/>
              <w:t>75,932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0" w:type="dxa"/>
            <w:tcBorders>
              <w:bottom w:val="single" w:sz="8" w:space="0" w:color="000000"/>
            </w:tcBorders>
            <w:shd w:fill="CCEEFF" w:val="clear"/>
            <w:tcMar>
              <w:bottom w:w="28" w:type="dxa"/>
            </w:tcMar>
            <w:vAlign w:val="center"/>
          </w:tcPr>
          <w:p>
            <w:pPr>
              <w:pStyle w:val="TableContents"/>
              <w:bidi w:val="0"/>
              <w:spacing w:before="0" w:after="283"/>
              <w:jc w:val="right"/>
              <w:rPr/>
            </w:pPr>
            <w:r>
              <w:rPr/>
              <w:t>125,632</w:t>
            </w:r>
          </w:p>
        </w:tc>
        <w:tc>
          <w:tcPr>
            <w:tcW w:w="136" w:type="dxa"/>
            <w:tcBorders/>
            <w:shd w:fill="CCEEFF" w:val="clear"/>
            <w:vAlign w:val="center"/>
          </w:tcPr>
          <w:p>
            <w:pPr>
              <w:pStyle w:val="TableContents"/>
              <w:bidi w:val="0"/>
              <w:spacing w:before="0" w:after="283"/>
              <w:ind w:left="0" w:right="0" w:hanging="0"/>
              <w:jc w:val="left"/>
              <w:rPr/>
            </w:pPr>
            <w:r>
              <w:rPr/>
              <w:t> </w:t>
            </w:r>
          </w:p>
        </w:tc>
      </w:tr>
      <w:tr>
        <w:trPr/>
        <w:tc>
          <w:tcPr>
            <w:tcW w:w="7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0"/>
              <w:jc w:val="left"/>
              <w:rPr/>
            </w:pPr>
            <w:r>
              <w:rPr/>
              <w:t> </w:t>
            </w:r>
          </w:p>
        </w:tc>
      </w:tr>
      <w:tr>
        <w:trPr/>
        <w:tc>
          <w:tcPr>
            <w:tcW w:w="729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161,705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287,388</w:t>
            </w:r>
          </w:p>
        </w:tc>
        <w:tc>
          <w:tcPr>
            <w:tcW w:w="136" w:type="dxa"/>
            <w:tcBorders/>
            <w:shd w:fill="CCEEFF" w:val="clear"/>
            <w:vAlign w:val="center"/>
          </w:tcPr>
          <w:p>
            <w:pPr>
              <w:pStyle w:val="TableContents"/>
              <w:bidi w:val="0"/>
              <w:spacing w:before="0" w:after="283"/>
              <w:ind w:left="0" w:right="0" w:hanging="0"/>
              <w:jc w:val="left"/>
              <w:rPr/>
            </w:pPr>
            <w:r>
              <w:rPr/>
              <w:t> </w:t>
            </w:r>
          </w:p>
        </w:tc>
      </w:tr>
      <w:tr>
        <w:trPr/>
        <w:tc>
          <w:tcPr>
            <w:tcW w:w="72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 </w:t>
            </w:r>
          </w:p>
        </w:tc>
        <w:tc>
          <w:tcPr>
            <w:tcW w:w="136" w:type="dxa"/>
            <w:tcBorders/>
            <w:vAlign w:val="center"/>
          </w:tcPr>
          <w:p>
            <w:pPr>
              <w:pStyle w:val="TableContents"/>
              <w:bidi w:val="0"/>
              <w:spacing w:before="0" w:after="283"/>
              <w:ind w:left="0" w:right="0" w:hanging="0"/>
              <w:jc w:val="left"/>
              <w:rPr/>
            </w:pPr>
            <w:r>
              <w:rPr/>
              <w:t> </w:t>
            </w:r>
          </w:p>
        </w:tc>
      </w:tr>
      <w:tr>
        <w:trPr/>
        <w:tc>
          <w:tcPr>
            <w:tcW w:w="7295" w:type="dxa"/>
            <w:tcBorders/>
            <w:shd w:fill="CCEEFF" w:val="clear"/>
            <w:vAlign w:val="center"/>
          </w:tcPr>
          <w:p>
            <w:pPr>
              <w:pStyle w:val="TableContents"/>
              <w:bidi w:val="0"/>
              <w:spacing w:before="0" w:after="283"/>
              <w:jc w:val="left"/>
              <w:rPr/>
            </w:pPr>
            <w:r>
              <w:rPr/>
              <w:t>Current portion</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84,786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200" w:type="dxa"/>
            <w:tcBorders/>
            <w:shd w:fill="CCEEFF" w:val="clear"/>
            <w:vAlign w:val="center"/>
          </w:tcPr>
          <w:p>
            <w:pPr>
              <w:pStyle w:val="TableContents"/>
              <w:bidi w:val="0"/>
              <w:spacing w:before="0" w:after="283"/>
              <w:jc w:val="right"/>
              <w:rPr/>
            </w:pPr>
            <w:r>
              <w:rPr/>
              <w:t>147,797</w:t>
            </w:r>
          </w:p>
        </w:tc>
        <w:tc>
          <w:tcPr>
            <w:tcW w:w="136" w:type="dxa"/>
            <w:tcBorders/>
            <w:shd w:fill="CCEEFF" w:val="clear"/>
            <w:vAlign w:val="center"/>
          </w:tcPr>
          <w:p>
            <w:pPr>
              <w:pStyle w:val="TableContents"/>
              <w:bidi w:val="0"/>
              <w:spacing w:before="0" w:after="283"/>
              <w:ind w:left="0" w:right="0" w:hanging="0"/>
              <w:jc w:val="left"/>
              <w:rPr/>
            </w:pPr>
            <w:r>
              <w:rPr/>
              <w:t> </w:t>
            </w:r>
          </w:p>
        </w:tc>
      </w:tr>
      <w:tr>
        <w:trPr/>
        <w:tc>
          <w:tcPr>
            <w:tcW w:w="7295" w:type="dxa"/>
            <w:tcBorders/>
            <w:vAlign w:val="center"/>
          </w:tcPr>
          <w:p>
            <w:pPr>
              <w:pStyle w:val="TableContents"/>
              <w:bidi w:val="0"/>
              <w:spacing w:before="0" w:after="283"/>
              <w:jc w:val="left"/>
              <w:rPr/>
            </w:pPr>
            <w:r>
              <w:rPr/>
              <w:t>Long-term maturities</w:t>
            </w:r>
          </w:p>
        </w:tc>
        <w:tc>
          <w:tcPr>
            <w:tcW w:w="90" w:type="dxa"/>
            <w:tcBorders/>
            <w:vAlign w:val="center"/>
          </w:tcPr>
          <w:p>
            <w:pPr>
              <w:pStyle w:val="TableContents"/>
              <w:bidi w:val="0"/>
              <w:spacing w:before="0" w:after="283"/>
              <w:jc w:val="left"/>
              <w:rPr/>
            </w:pPr>
            <w:r>
              <w:rPr/>
              <w:t> </w:t>
            </w:r>
          </w:p>
        </w:tc>
        <w:tc>
          <w:tcPr>
            <w:tcW w:w="179" w:type="dxa"/>
            <w:tcBorders>
              <w:bottom w:val="single" w:sz="8" w:space="0" w:color="000000"/>
            </w:tcBorders>
            <w:tcMar>
              <w:bottom w:w="28" w:type="dxa"/>
            </w:tcMar>
            <w:vAlign w:val="center"/>
          </w:tcPr>
          <w:p>
            <w:pPr>
              <w:pStyle w:val="TableContents"/>
              <w:bidi w:val="0"/>
              <w:spacing w:before="0" w:after="283"/>
              <w:jc w:val="left"/>
              <w:rPr/>
            </w:pPr>
            <w:r>
              <w:rPr/>
              <w:t> </w:t>
            </w:r>
          </w:p>
        </w:tc>
        <w:tc>
          <w:tcPr>
            <w:tcW w:w="880" w:type="dxa"/>
            <w:tcBorders>
              <w:bottom w:val="single" w:sz="8" w:space="0" w:color="000000"/>
            </w:tcBorders>
            <w:tcMar>
              <w:bottom w:w="28" w:type="dxa"/>
            </w:tcMar>
            <w:vAlign w:val="center"/>
          </w:tcPr>
          <w:p>
            <w:pPr>
              <w:pStyle w:val="TableContents"/>
              <w:bidi w:val="0"/>
              <w:spacing w:before="0" w:after="283"/>
              <w:jc w:val="right"/>
              <w:rPr/>
            </w:pPr>
            <w:r>
              <w:rPr/>
              <w:t>76,919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tcMar>
              <w:bottom w:w="28" w:type="dxa"/>
            </w:tcMar>
            <w:vAlign w:val="center"/>
          </w:tcPr>
          <w:p>
            <w:pPr>
              <w:pStyle w:val="TableContents"/>
              <w:bidi w:val="0"/>
              <w:spacing w:before="0" w:after="283"/>
              <w:jc w:val="right"/>
              <w:rPr/>
            </w:pPr>
            <w:r>
              <w:rPr/>
              <w:t>139,591</w:t>
            </w:r>
          </w:p>
        </w:tc>
        <w:tc>
          <w:tcPr>
            <w:tcW w:w="136" w:type="dxa"/>
            <w:tcBorders/>
            <w:vAlign w:val="center"/>
          </w:tcPr>
          <w:p>
            <w:pPr>
              <w:pStyle w:val="TableContents"/>
              <w:bidi w:val="0"/>
              <w:spacing w:before="0" w:after="283"/>
              <w:ind w:left="0" w:right="0" w:hanging="0"/>
              <w:jc w:val="left"/>
              <w:rPr/>
            </w:pPr>
            <w:r>
              <w:rPr/>
              <w:t> </w:t>
            </w:r>
          </w:p>
        </w:tc>
      </w:tr>
      <w:tr>
        <w:trPr/>
        <w:tc>
          <w:tcPr>
            <w:tcW w:w="729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jc w:val="right"/>
              <w:rPr/>
            </w:pPr>
            <w:r>
              <w:rPr/>
              <w:t>161,705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0" w:type="dxa"/>
            <w:tcBorders>
              <w:bottom w:val="double" w:sz="6" w:space="0" w:color="000000"/>
            </w:tcBorders>
            <w:shd w:fill="CCEEFF" w:val="clear"/>
            <w:tcMar>
              <w:bottom w:w="28" w:type="dxa"/>
            </w:tcMar>
            <w:vAlign w:val="center"/>
          </w:tcPr>
          <w:p>
            <w:pPr>
              <w:pStyle w:val="TableContents"/>
              <w:bidi w:val="0"/>
              <w:spacing w:before="0" w:after="283"/>
              <w:jc w:val="right"/>
              <w:rPr/>
            </w:pPr>
            <w:r>
              <w:rPr/>
              <w:t>287,388</w:t>
            </w:r>
          </w:p>
        </w:tc>
        <w:tc>
          <w:tcPr>
            <w:tcW w:w="13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accrued interest on financing leases at June 30, 2025 and December 31,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maturities of lease liabilities:</w:t>
      </w:r>
    </w:p>
    <w:p>
      <w:pPr>
        <w:pStyle w:val="TextBody"/>
        <w:bidi w:val="0"/>
        <w:jc w:val="left"/>
        <w:rPr>
          <w:caps w:val="false"/>
          <w:smallCaps w:val="false"/>
        </w:rPr>
      </w:pPr>
      <w:r>
        <w:rPr>
          <w:caps w:val="false"/>
          <w:smallCaps w:val="false"/>
        </w:rPr>
        <w:t> </w:t>
      </w:r>
    </w:p>
    <w:tbl>
      <w:tblPr>
        <w:tblW w:w="4650" w:type="dxa"/>
        <w:jc w:val="left"/>
        <w:tblInd w:w="0" w:type="dxa"/>
        <w:tblLayout w:type="fixed"/>
        <w:tblCellMar>
          <w:top w:w="0" w:type="dxa"/>
          <w:left w:w="0" w:type="dxa"/>
          <w:bottom w:w="0" w:type="dxa"/>
          <w:right w:w="0" w:type="dxa"/>
        </w:tblCellMar>
      </w:tblPr>
      <w:tblGrid>
        <w:gridCol w:w="3425"/>
        <w:gridCol w:w="90"/>
        <w:gridCol w:w="170"/>
        <w:gridCol w:w="830"/>
        <w:gridCol w:w="135"/>
      </w:tblGrid>
      <w:tr>
        <w:trPr/>
        <w:tc>
          <w:tcPr>
            <w:tcW w:w="3425" w:type="dxa"/>
            <w:tcBorders/>
            <w:vAlign w:val="center"/>
          </w:tcPr>
          <w:p>
            <w:pPr>
              <w:pStyle w:val="TableContents"/>
              <w:bidi w:val="0"/>
              <w:spacing w:before="0" w:after="283"/>
              <w:jc w:val="left"/>
              <w:rPr/>
            </w:pPr>
            <w:r>
              <w:rPr/>
              <w:t>For the period ended December 31,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56,214</w:t>
            </w:r>
          </w:p>
        </w:tc>
        <w:tc>
          <w:tcPr>
            <w:tcW w:w="13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49,832</w:t>
            </w:r>
          </w:p>
        </w:tc>
        <w:tc>
          <w:tcPr>
            <w:tcW w:w="13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22,035</w:t>
            </w:r>
          </w:p>
        </w:tc>
        <w:tc>
          <w:tcPr>
            <w:tcW w:w="13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2028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18,781</w:t>
            </w:r>
          </w:p>
        </w:tc>
        <w:tc>
          <w:tcPr>
            <w:tcW w:w="13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2029</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14,843</w:t>
            </w:r>
          </w:p>
        </w:tc>
        <w:tc>
          <w:tcPr>
            <w:tcW w:w="13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161,705</w:t>
            </w:r>
          </w:p>
        </w:tc>
        <w:tc>
          <w:tcPr>
            <w:tcW w:w="13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INTANGIBLE ASSETS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acquired certain intangible assets pursuant to the acquisitions of Artisan Specialty Foods, Inc. (“Artisan”), igourmet, and Mouth. These assets include non-compete agreements, customer relationships, trade names, internally developed technology, and goodwill. The Company has also capitalized the development of its website.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Amortizable Intangible Assets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balances of other amortizable intangible assets as of June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1955"/>
        <w:gridCol w:w="90"/>
        <w:gridCol w:w="170"/>
        <w:gridCol w:w="830"/>
        <w:gridCol w:w="90"/>
        <w:gridCol w:w="90"/>
        <w:gridCol w:w="270"/>
        <w:gridCol w:w="1130"/>
        <w:gridCol w:w="90"/>
        <w:gridCol w:w="90"/>
        <w:gridCol w:w="170"/>
        <w:gridCol w:w="830"/>
        <w:gridCol w:w="135"/>
      </w:tblGrid>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2025</w:t>
              <w:br/>
              <w:t>(unaudited)</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135" w:type="dxa"/>
            <w:tcBorders/>
            <w:vAlign w:val="center"/>
          </w:tcPr>
          <w:p>
            <w:pPr>
              <w:pStyle w:val="TableContents"/>
              <w:bidi w:val="0"/>
              <w:spacing w:before="0" w:after="283"/>
              <w:ind w:left="0" w:right="0" w:hanging="0"/>
              <w:jc w:val="left"/>
              <w:rPr/>
            </w:pPr>
            <w:r>
              <w:rPr/>
              <w:t> </w:t>
            </w:r>
          </w:p>
        </w:tc>
      </w:tr>
      <w:tr>
        <w:trPr/>
        <w:tc>
          <w:tcPr>
            <w:tcW w:w="1955" w:type="dxa"/>
            <w:tcBorders/>
            <w:shd w:fill="CCEEFF" w:val="clear"/>
            <w:vAlign w:val="center"/>
          </w:tcPr>
          <w:p>
            <w:pPr>
              <w:pStyle w:val="TableContents"/>
              <w:bidi w:val="0"/>
              <w:spacing w:before="0" w:after="283"/>
              <w:jc w:val="left"/>
              <w:rPr/>
            </w:pPr>
            <w:r>
              <w:rPr/>
              <w:t>Total Customer lists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431,565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50,349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381,216</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1955"/>
        <w:gridCol w:w="90"/>
        <w:gridCol w:w="170"/>
        <w:gridCol w:w="830"/>
        <w:gridCol w:w="90"/>
        <w:gridCol w:w="90"/>
        <w:gridCol w:w="313"/>
        <w:gridCol w:w="1087"/>
        <w:gridCol w:w="90"/>
        <w:gridCol w:w="90"/>
        <w:gridCol w:w="170"/>
        <w:gridCol w:w="830"/>
        <w:gridCol w:w="135"/>
      </w:tblGrid>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135" w:type="dxa"/>
            <w:tcBorders/>
            <w:vAlign w:val="center"/>
          </w:tcPr>
          <w:p>
            <w:pPr>
              <w:pStyle w:val="TableContents"/>
              <w:bidi w:val="0"/>
              <w:spacing w:before="0" w:after="283"/>
              <w:ind w:left="0" w:right="0" w:hanging="0"/>
              <w:jc w:val="left"/>
              <w:rPr/>
            </w:pPr>
            <w:r>
              <w:rPr/>
              <w:t> </w:t>
            </w:r>
          </w:p>
        </w:tc>
      </w:tr>
      <w:tr>
        <w:trPr/>
        <w:tc>
          <w:tcPr>
            <w:tcW w:w="1955" w:type="dxa"/>
            <w:tcBorders/>
            <w:shd w:fill="CCEEFF" w:val="clear"/>
            <w:vAlign w:val="center"/>
          </w:tcPr>
          <w:p>
            <w:pPr>
              <w:pStyle w:val="TableContents"/>
              <w:bidi w:val="0"/>
              <w:spacing w:before="0" w:after="283"/>
              <w:jc w:val="left"/>
              <w:rPr/>
            </w:pPr>
            <w:r>
              <w:rPr/>
              <w:t>Total Customer lists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431,565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jc w:val="right"/>
              <w:rPr/>
            </w:pPr>
            <w:r>
              <w:rPr/>
              <w:t>7,193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424,372</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amortization expense for the three months ended June 30, 2025 and 2024 was $21,578 and $0, respectively. Total amortization expense for the six months ended June 30, 2025 and 2024 was $43,156 and $0, respectively.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amortization expense for intangible assets as of June 30, 2025 is as follows:</w:t>
      </w:r>
    </w:p>
    <w:p>
      <w:pPr>
        <w:pStyle w:val="TextBody"/>
        <w:bidi w:val="0"/>
        <w:spacing w:before="0" w:after="0"/>
        <w:ind w:left="0" w:right="0" w:hanging="0"/>
        <w:jc w:val="left"/>
        <w:rPr>
          <w:caps w:val="false"/>
          <w:smallCaps w:val="false"/>
        </w:rPr>
      </w:pPr>
      <w:r>
        <w:rPr>
          <w:caps w:val="false"/>
          <w:smallCaps w:val="false"/>
        </w:rPr>
        <w:t> </w:t>
      </w:r>
    </w:p>
    <w:tbl>
      <w:tblPr>
        <w:tblW w:w="4650" w:type="dxa"/>
        <w:jc w:val="left"/>
        <w:tblInd w:w="0" w:type="dxa"/>
        <w:tblLayout w:type="fixed"/>
        <w:tblCellMar>
          <w:top w:w="0" w:type="dxa"/>
          <w:left w:w="0" w:type="dxa"/>
          <w:bottom w:w="0" w:type="dxa"/>
          <w:right w:w="0" w:type="dxa"/>
        </w:tblCellMar>
      </w:tblPr>
      <w:tblGrid>
        <w:gridCol w:w="3425"/>
        <w:gridCol w:w="90"/>
        <w:gridCol w:w="170"/>
        <w:gridCol w:w="830"/>
        <w:gridCol w:w="135"/>
      </w:tblGrid>
      <w:tr>
        <w:trPr/>
        <w:tc>
          <w:tcPr>
            <w:tcW w:w="3425" w:type="dxa"/>
            <w:tcBorders/>
            <w:vAlign w:val="center"/>
          </w:tcPr>
          <w:p>
            <w:pPr>
              <w:pStyle w:val="TableContents"/>
              <w:bidi w:val="0"/>
              <w:spacing w:before="0" w:after="283"/>
              <w:jc w:val="left"/>
              <w:rPr/>
            </w:pPr>
            <w:r>
              <w:rPr/>
              <w:t>For the period ended December 31,</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43,157</w:t>
            </w:r>
          </w:p>
        </w:tc>
        <w:tc>
          <w:tcPr>
            <w:tcW w:w="13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86,313</w:t>
            </w:r>
          </w:p>
        </w:tc>
        <w:tc>
          <w:tcPr>
            <w:tcW w:w="13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86,313</w:t>
            </w:r>
          </w:p>
        </w:tc>
        <w:tc>
          <w:tcPr>
            <w:tcW w:w="13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2028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86,313</w:t>
            </w:r>
          </w:p>
        </w:tc>
        <w:tc>
          <w:tcPr>
            <w:tcW w:w="13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2029</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79,120</w:t>
            </w:r>
          </w:p>
        </w:tc>
        <w:tc>
          <w:tcPr>
            <w:tcW w:w="13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381,216</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Non-Amortizable Intangible Assets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non-amortizable intangible assets consist of $217,000 of trade names held by Artisan. The Company followed the guidance of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in assessing these assets for impairment. ASC 360 states that impairment testing should be completed whenever events or changes in circumstances indicate the asset’s carrying value may not be recoverable. In management’s judgment, there are no indications that the carrying value of these trade names may not be recoverable, and it determined that impairment testing was not required.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acquired certain intangible assets pursuant to the acquisitions through Artisan. The following is the net book value of these assets:</w:t>
      </w:r>
    </w:p>
    <w:p>
      <w:pPr>
        <w:pStyle w:val="TextBody"/>
        <w:bidi w:val="0"/>
        <w:jc w:val="left"/>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1835"/>
        <w:gridCol w:w="90"/>
        <w:gridCol w:w="170"/>
        <w:gridCol w:w="830"/>
        <w:gridCol w:w="90"/>
        <w:gridCol w:w="90"/>
        <w:gridCol w:w="363"/>
        <w:gridCol w:w="1037"/>
        <w:gridCol w:w="90"/>
        <w:gridCol w:w="90"/>
        <w:gridCol w:w="170"/>
        <w:gridCol w:w="830"/>
        <w:gridCol w:w="135"/>
      </w:tblGrid>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June 30, 2025 </w:t>
              <w:br/>
              <w:t>(unaudited)</w:t>
            </w:r>
          </w:p>
        </w:tc>
        <w:tc>
          <w:tcPr>
            <w:tcW w:w="13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135" w:type="dxa"/>
            <w:tcBorders/>
            <w:vAlign w:val="center"/>
          </w:tcPr>
          <w:p>
            <w:pPr>
              <w:pStyle w:val="TableContents"/>
              <w:bidi w:val="0"/>
              <w:spacing w:before="0" w:after="283"/>
              <w:ind w:left="0" w:right="0" w:hanging="0"/>
              <w:jc w:val="left"/>
              <w:rPr/>
            </w:pPr>
            <w:r>
              <w:rPr/>
              <w:t> </w:t>
            </w:r>
          </w:p>
        </w:tc>
      </w:tr>
      <w:tr>
        <w:trPr/>
        <w:tc>
          <w:tcPr>
            <w:tcW w:w="1835" w:type="dxa"/>
            <w:tcBorders/>
            <w:shd w:fill="CCEEFF" w:val="clear"/>
            <w:vAlign w:val="center"/>
          </w:tcPr>
          <w:p>
            <w:pPr>
              <w:pStyle w:val="TableContents"/>
              <w:bidi w:val="0"/>
              <w:spacing w:before="0" w:after="283"/>
              <w:jc w:val="left"/>
              <w:rPr/>
            </w:pPr>
            <w:r>
              <w:rPr/>
              <w:t>Total Trade names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217,000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217,000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1835"/>
        <w:gridCol w:w="90"/>
        <w:gridCol w:w="170"/>
        <w:gridCol w:w="830"/>
        <w:gridCol w:w="90"/>
        <w:gridCol w:w="90"/>
        <w:gridCol w:w="363"/>
        <w:gridCol w:w="1037"/>
        <w:gridCol w:w="90"/>
        <w:gridCol w:w="90"/>
        <w:gridCol w:w="170"/>
        <w:gridCol w:w="830"/>
        <w:gridCol w:w="135"/>
      </w:tblGrid>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135" w:type="dxa"/>
            <w:tcBorders/>
            <w:vAlign w:val="center"/>
          </w:tcPr>
          <w:p>
            <w:pPr>
              <w:pStyle w:val="TableContents"/>
              <w:bidi w:val="0"/>
              <w:spacing w:before="0" w:after="283"/>
              <w:ind w:left="0" w:right="0" w:hanging="0"/>
              <w:jc w:val="left"/>
              <w:rPr/>
            </w:pPr>
            <w:r>
              <w:rPr/>
              <w:t> </w:t>
            </w:r>
          </w:p>
        </w:tc>
      </w:tr>
      <w:tr>
        <w:trPr/>
        <w:tc>
          <w:tcPr>
            <w:tcW w:w="1835" w:type="dxa"/>
            <w:tcBorders/>
            <w:shd w:fill="CCEEFF" w:val="clear"/>
            <w:vAlign w:val="center"/>
          </w:tcPr>
          <w:p>
            <w:pPr>
              <w:pStyle w:val="TableContents"/>
              <w:bidi w:val="0"/>
              <w:spacing w:before="0" w:after="283"/>
              <w:jc w:val="left"/>
              <w:rPr/>
            </w:pPr>
            <w:r>
              <w:rPr/>
              <w:t>Total Trade names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217,000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217,000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ACCOUNTS PAYABLE AND ACCRUED LIABILITIES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 at June 30, 2025 and December 31, 2024 are as follows:</w:t>
      </w:r>
    </w:p>
    <w:p>
      <w:pPr>
        <w:pStyle w:val="TextBody"/>
        <w:bidi w:val="0"/>
        <w:jc w:val="left"/>
        <w:rPr>
          <w:caps w:val="false"/>
          <w:smallCaps w:val="false"/>
        </w:rPr>
      </w:pPr>
      <w:r>
        <w:rPr>
          <w:caps w:val="false"/>
          <w:smallCaps w:val="false"/>
        </w:rPr>
        <w:t> </w:t>
      </w:r>
    </w:p>
    <w:tbl>
      <w:tblPr>
        <w:tblW w:w="6694" w:type="dxa"/>
        <w:jc w:val="left"/>
        <w:tblInd w:w="0" w:type="dxa"/>
        <w:tblLayout w:type="fixed"/>
        <w:tblCellMar>
          <w:top w:w="0" w:type="dxa"/>
          <w:left w:w="0" w:type="dxa"/>
          <w:bottom w:w="0" w:type="dxa"/>
          <w:right w:w="0" w:type="dxa"/>
        </w:tblCellMar>
      </w:tblPr>
      <w:tblGrid>
        <w:gridCol w:w="3605"/>
        <w:gridCol w:w="90"/>
        <w:gridCol w:w="170"/>
        <w:gridCol w:w="1010"/>
        <w:gridCol w:w="90"/>
        <w:gridCol w:w="90"/>
        <w:gridCol w:w="216"/>
        <w:gridCol w:w="1288"/>
        <w:gridCol w:w="135"/>
      </w:tblGrid>
      <w:tr>
        <w:trPr/>
        <w:tc>
          <w:tcPr>
            <w:tcW w:w="3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3605" w:type="dxa"/>
            <w:tcBorders/>
            <w:shd w:fill="CCEEFF" w:val="clear"/>
            <w:vAlign w:val="center"/>
          </w:tcPr>
          <w:p>
            <w:pPr>
              <w:pStyle w:val="TableContents"/>
              <w:bidi w:val="0"/>
              <w:spacing w:before="0" w:after="283"/>
              <w:jc w:val="left"/>
              <w:rPr/>
            </w:pPr>
            <w:r>
              <w:rPr/>
              <w:t>Trade payables and accrued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4,147,986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5,829,506</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605" w:type="dxa"/>
            <w:tcBorders/>
            <w:vAlign w:val="center"/>
          </w:tcPr>
          <w:p>
            <w:pPr>
              <w:pStyle w:val="TableContents"/>
              <w:bidi w:val="0"/>
              <w:spacing w:before="0" w:after="283"/>
              <w:jc w:val="left"/>
              <w:rPr/>
            </w:pPr>
            <w:r>
              <w:rPr/>
              <w:t>Accrued payroll and commissions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39,605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single" w:sz="8" w:space="0" w:color="000000"/>
            </w:tcBorders>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tcMar>
              <w:bottom w:w="28" w:type="dxa"/>
            </w:tcMar>
            <w:vAlign w:val="center"/>
          </w:tcPr>
          <w:p>
            <w:pPr>
              <w:pStyle w:val="TableContents"/>
              <w:bidi w:val="0"/>
              <w:spacing w:before="0" w:after="283"/>
              <w:jc w:val="right"/>
              <w:rPr/>
            </w:pPr>
            <w:r>
              <w:rPr/>
              <w:t>824,116</w:t>
            </w:r>
          </w:p>
        </w:tc>
        <w:tc>
          <w:tcPr>
            <w:tcW w:w="135" w:type="dxa"/>
            <w:tcBorders/>
            <w:vAlign w:val="center"/>
          </w:tcPr>
          <w:p>
            <w:pPr>
              <w:pStyle w:val="TableContents"/>
              <w:bidi w:val="0"/>
              <w:spacing w:before="0" w:after="283"/>
              <w:ind w:left="0" w:right="0" w:hanging="0"/>
              <w:jc w:val="left"/>
              <w:rPr/>
            </w:pPr>
            <w:r>
              <w:rPr/>
              <w:t> </w:t>
            </w:r>
          </w:p>
        </w:tc>
      </w:tr>
      <w:tr>
        <w:trPr/>
        <w:tc>
          <w:tcPr>
            <w:tcW w:w="360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4,187,591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8" w:type="dxa"/>
            <w:tcBorders>
              <w:bottom w:val="double" w:sz="6" w:space="0" w:color="000000"/>
            </w:tcBorders>
            <w:shd w:fill="CCEEFF" w:val="clear"/>
            <w:tcMar>
              <w:bottom w:w="28" w:type="dxa"/>
            </w:tcMar>
            <w:vAlign w:val="center"/>
          </w:tcPr>
          <w:p>
            <w:pPr>
              <w:pStyle w:val="TableContents"/>
              <w:bidi w:val="0"/>
              <w:spacing w:before="0" w:after="283"/>
              <w:jc w:val="right"/>
              <w:rPr/>
            </w:pPr>
            <w:r>
              <w:rPr/>
              <w:t>6,653,622</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ACCRUED SEPARATION COSTS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RELATED PARTIES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2023, the Company entered into a Severance Note, an Agreement and General Release, and a Side Letter thereto (the “SK Agreements”) with Sam Klepfish, its prior CEO and a current board member. The SK Agreements provide, among other things, for Mr. Kelpfish’s resignation from all positions with the Company and its subsidiaries on February 28, 2023, except that Mr. Klepfish will remain a director and member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with the requirement that they are released to Mr. Klepfish on his separation date. The $1,000,000 portion is in the form of an unsecured, non-interest bearing note payable to Mr. Klepfish. The SK Agreements also call for the delivery of 400,000 shares of the Company’s common stock valued at $168,000 based upon the closing price of the Company’s common stock on Mr. Klepfish’s separation date of February 28, 2023; in addition, for delivery on June 1, 2027 of additional shares of the Company’s common stock equal to the greater of (i) the number of shares with an aggregate fair market value of $400,000 on such date, or (ii) 266,666 shares. The Company also agreed to pay a total of $1,199 of the Consolidated Omnibus Reconciliation Act (“COBRA”) insurance costs on behalf of Mr. Klepfish over eighteen months. The total amount accrued in connection with the SK Agreements was $1,819,199.</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2023, the Company entered into a separation agreement (the “Wiernasz Separation Agreement”) with Justin Wiernasz, a director and previous Director of Strategic Acquisitions. Pursuant to the Wiernasz Separation Agreement, the Company agreed to a payment of $100,000 in cash as follows: $33,333 upon execution of the agreement, $33,333 on March 15, 2023, and $33,334 on April 15, 2023. The Company also agreed to make the COBRA insurance payments on behalf of Mr. Wiernasz in the amount of $2,548 per month for twelve months with a maximum of $26,451. The total amount accrued in connection with the Wiernasz Separation Agreement was $126,451.</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2024, the Company entered into a separation agreement (the “Tang Separation Agreement”) with Richard Tang, its Chief Financial Officer, effective as of December 31, 2023. Pursuant to the Tang Separation Agreement, the Company has agreed to pay to Mr. Tang, in equal installments over a five-month period, the gross sum of $113,918. In addition, Mr. Tang may submit for reimbursement up to $4,000 of legal expenses connected with the review of the Tang Separation Agreement. The severance payment will be made in the following installments: (i) $25,890 to be paid the week of March 4, 2024; (ii) $5,178 to be paid each successive week for seventeen weeks beginning the week of March 11, 2024, until the severance payment is completed. In addition, if Tang timely elects to continue his group health insurance benefits under COBRA, the Company will reimburse Tang’s group health insurance premiums for the lesser of: (a) the period of time Employee is eligible to continue his group health insurance benefits under COBRA and (b) the five-month period immediately following the separation date. Reimbursements will be paid within thirty days of when Mr. Tang submits a request for reimbursement and supporting documentation.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and 2024, the Company paid cash in the amount of $83,333 and $83,333, respectively, to Mr. Klepfish in connection with the SK Agreements. During the six months ended June 30, 2025 and 2024, the Company paid cash in the amount of $166,666 and $166,667, respectively, to Mr. Klepfish in connection with the SK Agreements.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and 2024, the Company made the following payments in connection with the Tang Separation Agreement: The Company paid cash to Mr. Tang in the amount of $0 and $37,315, respectively; and COBRA payments on behalf of Mr. Tang in the amount of $0 and $8,654, respectively.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and 2024, the Company made the following payments in connection with the Tang Separation Agreement: The Company paid cash to Mr. Tang in the amount of $0 and $108,740, respectively; and COBRA payments on behalf of Mr. Tang in the amount of $0 and $11,539, respectively.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amounts accrued, paid, and outstanding on these agreements as of June 30, 2025:</w:t>
      </w:r>
    </w:p>
    <w:p>
      <w:pPr>
        <w:pStyle w:val="TextBody"/>
        <w:bidi w:val="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3230"/>
        <w:gridCol w:w="90"/>
        <w:gridCol w:w="170"/>
        <w:gridCol w:w="1010"/>
        <w:gridCol w:w="90"/>
        <w:gridCol w:w="90"/>
        <w:gridCol w:w="170"/>
        <w:gridCol w:w="1085"/>
        <w:gridCol w:w="125"/>
        <w:gridCol w:w="90"/>
        <w:gridCol w:w="170"/>
        <w:gridCol w:w="830"/>
        <w:gridCol w:w="90"/>
        <w:gridCol w:w="90"/>
        <w:gridCol w:w="170"/>
        <w:gridCol w:w="830"/>
        <w:gridCol w:w="90"/>
        <w:gridCol w:w="90"/>
        <w:gridCol w:w="225"/>
        <w:gridCol w:w="1100"/>
        <w:gridCol w:w="135"/>
      </w:tblGrid>
      <w:tr>
        <w:trPr/>
        <w:tc>
          <w:tcPr>
            <w:tcW w:w="3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Paid /</w:t>
              <w:br/>
              <w:t>Issued</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Current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Non-current</w:t>
            </w:r>
          </w:p>
        </w:tc>
        <w:tc>
          <w:tcPr>
            <w:tcW w:w="135" w:type="dxa"/>
            <w:tcBorders/>
            <w:vAlign w:val="center"/>
          </w:tcPr>
          <w:p>
            <w:pPr>
              <w:pStyle w:val="TableContents"/>
              <w:bidi w:val="0"/>
              <w:spacing w:before="0" w:after="283"/>
              <w:jc w:val="center"/>
              <w:rPr/>
            </w:pPr>
            <w:r>
              <w:rPr/>
              <w:t> </w:t>
            </w:r>
          </w:p>
        </w:tc>
      </w:tr>
      <w:tr>
        <w:trPr/>
        <w:tc>
          <w:tcPr>
            <w:tcW w:w="3230" w:type="dxa"/>
            <w:tcBorders/>
            <w:vAlign w:val="center"/>
          </w:tcPr>
          <w:p>
            <w:pPr>
              <w:pStyle w:val="TableContents"/>
              <w:bidi w:val="0"/>
              <w:spacing w:before="0" w:after="283"/>
              <w:jc w:val="left"/>
              <w:rPr/>
            </w:pPr>
            <w:r>
              <w:rPr/>
              <w:t>Mr. Klepfish:</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283"/>
              <w:jc w:val="left"/>
              <w:rPr/>
            </w:pPr>
            <w:r>
              <w:rPr/>
              <w:t>Cash – through March 6,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(775,640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224,360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224,360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vAlign w:val="center"/>
          </w:tcPr>
          <w:p>
            <w:pPr>
              <w:pStyle w:val="TableContents"/>
              <w:bidi w:val="0"/>
              <w:spacing w:before="0" w:after="283"/>
              <w:jc w:val="left"/>
              <w:rPr/>
            </w:pPr>
            <w:r>
              <w:rPr/>
              <w:t>Cash - upon agreement execution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(250,000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283"/>
              <w:jc w:val="left"/>
              <w:rPr/>
            </w:pPr>
            <w:r>
              <w:rPr/>
              <w:t>Stock - June 1, 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400,000</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vAlign w:val="center"/>
          </w:tcPr>
          <w:p>
            <w:pPr>
              <w:pStyle w:val="TableContents"/>
              <w:bidi w:val="0"/>
              <w:spacing w:before="0" w:after="283"/>
              <w:jc w:val="left"/>
              <w:rPr/>
            </w:pPr>
            <w:r>
              <w:rPr/>
              <w:t>Stock - Issued in April 2023</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168,000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(168,000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283"/>
              <w:jc w:val="left"/>
              <w:rPr/>
            </w:pPr>
            <w:r>
              <w:rPr/>
              <w:t>COBRA - over eighteen months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1,199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vAlign w:val="center"/>
          </w:tcPr>
          <w:p>
            <w:pPr>
              <w:pStyle w:val="TableContents"/>
              <w:bidi w:val="0"/>
              <w:spacing w:before="0" w:after="283"/>
              <w:jc w:val="left"/>
              <w:rPr/>
            </w:pPr>
            <w:r>
              <w:rPr/>
              <w:t>Total – Mr. Klepfish</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1,819,199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tcMar>
              <w:bottom w:w="28" w:type="dxa"/>
            </w:tcMar>
            <w:vAlign w:val="center"/>
          </w:tcPr>
          <w:p>
            <w:pPr>
              <w:pStyle w:val="TableContents"/>
              <w:bidi w:val="0"/>
              <w:spacing w:before="0" w:after="283"/>
              <w:jc w:val="right"/>
              <w:rPr/>
            </w:pPr>
            <w:r>
              <w:rPr/>
              <w:t>(1,193,640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625,559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225,559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400,000</w:t>
            </w:r>
          </w:p>
        </w:tc>
        <w:tc>
          <w:tcPr>
            <w:tcW w:w="135" w:type="dxa"/>
            <w:tcBorders/>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vAlign w:val="center"/>
          </w:tcPr>
          <w:p>
            <w:pPr>
              <w:pStyle w:val="TableContents"/>
              <w:bidi w:val="0"/>
              <w:spacing w:before="0" w:after="283"/>
              <w:jc w:val="left"/>
              <w:rPr/>
            </w:pPr>
            <w:r>
              <w:rPr/>
              <w:t>Mr. Wiernasz:</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283"/>
              <w:jc w:val="left"/>
              <w:rPr/>
            </w:pPr>
            <w:r>
              <w:rPr/>
              <w:t>Cash - three equal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(100,000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vAlign w:val="center"/>
          </w:tcPr>
          <w:p>
            <w:pPr>
              <w:pStyle w:val="TableContents"/>
              <w:bidi w:val="0"/>
              <w:spacing w:before="0" w:after="283"/>
              <w:jc w:val="left"/>
              <w:rPr/>
            </w:pPr>
            <w:r>
              <w:rPr/>
              <w:t>COBRA - over eighteen months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26,451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right"/>
              <w:rPr/>
            </w:pPr>
            <w:r>
              <w:rPr/>
              <w:t>(26,451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283"/>
              <w:jc w:val="left"/>
              <w:rPr/>
            </w:pPr>
            <w:r>
              <w:rPr/>
              <w:t>Total - Mr. Wiernasz</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126,451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pPr>
            <w:r>
              <w:rPr/>
              <w:t>(126,451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283"/>
              <w:jc w:val="left"/>
              <w:rPr/>
            </w:pPr>
            <w:r>
              <w:rPr/>
              <w:t>Mr. Tang: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vAlign w:val="center"/>
          </w:tcPr>
          <w:p>
            <w:pPr>
              <w:pStyle w:val="TableContents"/>
              <w:bidi w:val="0"/>
              <w:spacing w:before="0" w:after="283"/>
              <w:jc w:val="left"/>
              <w:rPr/>
            </w:pPr>
            <w:r>
              <w:rPr/>
              <w:t>Cash – over seventeen weeks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113,918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(113,918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283"/>
              <w:jc w:val="left"/>
              <w:rPr/>
            </w:pPr>
            <w:r>
              <w:rPr/>
              <w:t>COBRA - over five months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14,495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(14,495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vAlign w:val="center"/>
          </w:tcPr>
          <w:p>
            <w:pPr>
              <w:pStyle w:val="TableContents"/>
              <w:bidi w:val="0"/>
              <w:spacing w:before="0" w:after="283"/>
              <w:jc w:val="left"/>
              <w:rPr/>
            </w:pPr>
            <w:r>
              <w:rPr/>
              <w:t>Total - Mr. Tang</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128,413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tcMar>
              <w:bottom w:w="28" w:type="dxa"/>
            </w:tcMar>
            <w:vAlign w:val="center"/>
          </w:tcPr>
          <w:p>
            <w:pPr>
              <w:pStyle w:val="TableContents"/>
              <w:bidi w:val="0"/>
              <w:spacing w:before="0" w:after="283"/>
              <w:jc w:val="right"/>
              <w:rPr/>
            </w:pPr>
            <w:r>
              <w:rPr/>
              <w:t>(128,413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0"/>
              <w:jc w:val="left"/>
              <w:rPr/>
            </w:pPr>
            <w:r>
              <w:rPr/>
              <w:t> </w:t>
            </w:r>
          </w:p>
        </w:tc>
      </w:tr>
      <w:tr>
        <w:trPr/>
        <w:tc>
          <w:tcPr>
            <w:tcW w:w="3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230" w:type="dxa"/>
            <w:tcBorders/>
            <w:vAlign w:val="center"/>
          </w:tcPr>
          <w:p>
            <w:pPr>
              <w:pStyle w:val="TableContents"/>
              <w:bidi w:val="0"/>
              <w:spacing w:before="0" w:after="283"/>
              <w:jc w:val="left"/>
              <w:rPr/>
            </w:pPr>
            <w:r>
              <w:rPr/>
              <w:t>Total Company</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2,074,063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85" w:type="dxa"/>
            <w:tcBorders>
              <w:bottom w:val="double" w:sz="6" w:space="0" w:color="000000"/>
            </w:tcBorders>
            <w:tcMar>
              <w:bottom w:w="28" w:type="dxa"/>
            </w:tcMar>
            <w:vAlign w:val="center"/>
          </w:tcPr>
          <w:p>
            <w:pPr>
              <w:pStyle w:val="TableContents"/>
              <w:bidi w:val="0"/>
              <w:spacing w:before="0" w:after="283"/>
              <w:jc w:val="right"/>
              <w:rPr/>
            </w:pPr>
            <w:r>
              <w:rPr/>
              <w:t>(1,448,504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625,559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225,559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400,000</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STOCK APPRECIATION RIGHTS LIABILITY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15, 2023, the Company issued 1,500,000 stock appreciation rights (the “Smallwood SARs”) to Brady Smallwood, its Chief Operating Officer (“COO”). See Note 17.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valuation of the Smallwood SARs is summarized in the table below:</w:t>
      </w:r>
    </w:p>
    <w:p>
      <w:pPr>
        <w:pStyle w:val="TextBody"/>
        <w:bidi w:val="0"/>
        <w:jc w:val="left"/>
        <w:rPr>
          <w:caps w:val="false"/>
          <w:smallCaps w:val="false"/>
        </w:rPr>
      </w:pPr>
      <w:r>
        <w:rPr>
          <w:caps w:val="false"/>
          <w:smallCaps w:val="false"/>
        </w:rPr>
        <w:t> </w:t>
      </w:r>
    </w:p>
    <w:tbl>
      <w:tblPr>
        <w:tblW w:w="4460" w:type="dxa"/>
        <w:jc w:val="left"/>
        <w:tblInd w:w="0" w:type="dxa"/>
        <w:tblLayout w:type="fixed"/>
        <w:tblCellMar>
          <w:top w:w="0" w:type="dxa"/>
          <w:left w:w="0" w:type="dxa"/>
          <w:bottom w:w="0" w:type="dxa"/>
          <w:right w:w="0" w:type="dxa"/>
        </w:tblCellMar>
      </w:tblPr>
      <w:tblGrid>
        <w:gridCol w:w="3020"/>
        <w:gridCol w:w="90"/>
        <w:gridCol w:w="170"/>
        <w:gridCol w:w="1010"/>
        <w:gridCol w:w="170"/>
      </w:tblGrid>
      <w:tr>
        <w:trPr/>
        <w:tc>
          <w:tcPr>
            <w:tcW w:w="3020" w:type="dxa"/>
            <w:tcBorders/>
            <w:shd w:fill="CCEEFF" w:val="clear"/>
            <w:vAlign w:val="center"/>
          </w:tcPr>
          <w:p>
            <w:pPr>
              <w:pStyle w:val="TableContents"/>
              <w:bidi w:val="0"/>
              <w:spacing w:before="0" w:after="283"/>
              <w:ind w:left="0" w:right="0" w:hanging="0"/>
              <w:jc w:val="left"/>
              <w:rPr/>
            </w:pPr>
            <w:r>
              <w:rPr/>
              <w:t>May 15, 2023 -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9,794</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vAlign w:val="center"/>
          </w:tcPr>
          <w:p>
            <w:pPr>
              <w:pStyle w:val="TableContents"/>
              <w:bidi w:val="0"/>
              <w:spacing w:before="0" w:after="283"/>
              <w:jc w:val="left"/>
              <w:rPr/>
            </w:pPr>
            <w:r>
              <w:rPr/>
              <w:t>(Gain) Loss on revaluation</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245,226</w:t>
            </w:r>
          </w:p>
        </w:tc>
        <w:tc>
          <w:tcPr>
            <w:tcW w:w="170" w:type="dxa"/>
            <w:tcBorders/>
            <w:vAlign w:val="center"/>
          </w:tcPr>
          <w:p>
            <w:pPr>
              <w:pStyle w:val="TableContents"/>
              <w:bidi w:val="0"/>
              <w:spacing w:before="0" w:after="283"/>
              <w:ind w:left="0" w:right="0" w:hanging="0"/>
              <w:jc w:val="left"/>
              <w:rPr/>
            </w:pPr>
            <w:r>
              <w:rPr/>
              <w:t> </w:t>
            </w:r>
          </w:p>
        </w:tc>
      </w:tr>
      <w:tr>
        <w:trPr/>
        <w:tc>
          <w:tcPr>
            <w:tcW w:w="3020" w:type="dxa"/>
            <w:tcBorders/>
            <w:shd w:fill="CCEEFF" w:val="clear"/>
            <w:vAlign w:val="center"/>
          </w:tcPr>
          <w:p>
            <w:pPr>
              <w:pStyle w:val="TableContents"/>
              <w:bidi w:val="0"/>
              <w:spacing w:before="0" w:after="283"/>
              <w:jc w:val="left"/>
              <w:rPr/>
            </w:pPr>
            <w:r>
              <w:rPr/>
              <w:t>December 31, 2023 -fair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255,020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vAlign w:val="center"/>
          </w:tcPr>
          <w:p>
            <w:pPr>
              <w:pStyle w:val="TableContents"/>
              <w:bidi w:val="0"/>
              <w:spacing w:before="0" w:after="283"/>
              <w:jc w:val="left"/>
              <w:rPr/>
            </w:pPr>
            <w:r>
              <w:rPr/>
              <w:t>(Gain) Loss on revaluation</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1,098,130</w:t>
            </w:r>
          </w:p>
        </w:tc>
        <w:tc>
          <w:tcPr>
            <w:tcW w:w="170" w:type="dxa"/>
            <w:tcBorders/>
            <w:vAlign w:val="center"/>
          </w:tcPr>
          <w:p>
            <w:pPr>
              <w:pStyle w:val="TableContents"/>
              <w:bidi w:val="0"/>
              <w:spacing w:before="0" w:after="283"/>
              <w:ind w:left="0" w:right="0" w:hanging="0"/>
              <w:jc w:val="left"/>
              <w:rPr/>
            </w:pPr>
            <w:r>
              <w:rPr/>
              <w:t> </w:t>
            </w:r>
          </w:p>
        </w:tc>
      </w:tr>
      <w:tr>
        <w:trPr/>
        <w:tc>
          <w:tcPr>
            <w:tcW w:w="3020" w:type="dxa"/>
            <w:tcBorders/>
            <w:shd w:fill="CCEEFF" w:val="clear"/>
            <w:vAlign w:val="center"/>
          </w:tcPr>
          <w:p>
            <w:pPr>
              <w:pStyle w:val="TableContents"/>
              <w:bidi w:val="0"/>
              <w:spacing w:before="0" w:after="283"/>
              <w:jc w:val="left"/>
              <w:rPr/>
            </w:pPr>
            <w:r>
              <w:rPr/>
              <w:t>December 31, 2024 -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1,353,150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vAlign w:val="center"/>
          </w:tcPr>
          <w:p>
            <w:pPr>
              <w:pStyle w:val="TableContents"/>
              <w:bidi w:val="0"/>
              <w:spacing w:before="0" w:after="283"/>
              <w:jc w:val="left"/>
              <w:rPr/>
            </w:pPr>
            <w:r>
              <w:rPr/>
              <w:t>(Gain) Loss on revaluation</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60,595</w:t>
            </w:r>
          </w:p>
        </w:tc>
        <w:tc>
          <w:tcPr>
            <w:tcW w:w="170" w:type="dxa"/>
            <w:tcBorders/>
            <w:vAlign w:val="center"/>
          </w:tcPr>
          <w:p>
            <w:pPr>
              <w:pStyle w:val="TableContents"/>
              <w:bidi w:val="0"/>
              <w:spacing w:before="0" w:after="283"/>
              <w:ind w:left="0" w:right="0" w:hanging="0"/>
              <w:jc w:val="left"/>
              <w:rPr/>
            </w:pPr>
            <w:r>
              <w:rPr/>
              <w:t> </w:t>
            </w:r>
          </w:p>
        </w:tc>
      </w:tr>
      <w:tr>
        <w:trPr/>
        <w:tc>
          <w:tcPr>
            <w:tcW w:w="3020" w:type="dxa"/>
            <w:tcBorders/>
            <w:shd w:fill="CCEEFF" w:val="clear"/>
            <w:vAlign w:val="center"/>
          </w:tcPr>
          <w:p>
            <w:pPr>
              <w:pStyle w:val="TableContents"/>
              <w:bidi w:val="0"/>
              <w:spacing w:before="0" w:after="283"/>
              <w:jc w:val="left"/>
              <w:rPr/>
            </w:pPr>
            <w:r>
              <w:rPr/>
              <w:t>March 31, 2025 - fair value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1,413,745</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3020" w:type="dxa"/>
            <w:tcBorders/>
            <w:vAlign w:val="center"/>
          </w:tcPr>
          <w:p>
            <w:pPr>
              <w:pStyle w:val="TableContents"/>
              <w:bidi w:val="0"/>
              <w:spacing w:before="0" w:after="283"/>
              <w:jc w:val="left"/>
              <w:rPr/>
            </w:pPr>
            <w:r>
              <w:rPr/>
              <w:t>(Gain) Loss on revaluation</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(287,858</w:t>
            </w:r>
          </w:p>
        </w:tc>
        <w:tc>
          <w:tcPr>
            <w:tcW w:w="170" w:type="dxa"/>
            <w:tcBorders/>
            <w:vAlign w:val="center"/>
          </w:tcPr>
          <w:p>
            <w:pPr>
              <w:pStyle w:val="TableContents"/>
              <w:bidi w:val="0"/>
              <w:spacing w:before="0" w:after="283"/>
              <w:ind w:left="0" w:right="0" w:hanging="0"/>
              <w:jc w:val="left"/>
              <w:rPr/>
            </w:pPr>
            <w:r>
              <w:rPr/>
              <w:t>)</w:t>
            </w:r>
          </w:p>
        </w:tc>
      </w:tr>
      <w:tr>
        <w:trPr/>
        <w:tc>
          <w:tcPr>
            <w:tcW w:w="3020" w:type="dxa"/>
            <w:tcBorders/>
            <w:shd w:fill="CCEEFF" w:val="clear"/>
            <w:vAlign w:val="center"/>
          </w:tcPr>
          <w:p>
            <w:pPr>
              <w:pStyle w:val="TableContents"/>
              <w:bidi w:val="0"/>
              <w:spacing w:before="0" w:after="283"/>
              <w:jc w:val="left"/>
              <w:rPr/>
            </w:pPr>
            <w:r>
              <w:rPr/>
              <w:t>June 30, 2025 - fair value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1,125,887</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LINE OF CREDIT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37"/>
        <w:gridCol w:w="90"/>
        <w:gridCol w:w="155"/>
        <w:gridCol w:w="942"/>
        <w:gridCol w:w="90"/>
        <w:gridCol w:w="90"/>
        <w:gridCol w:w="155"/>
        <w:gridCol w:w="1210"/>
        <w:gridCol w:w="136"/>
      </w:tblGrid>
      <w:tr>
        <w:trPr/>
        <w:tc>
          <w:tcPr>
            <w:tcW w:w="7337" w:type="dxa"/>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center"/>
              <w:rPr/>
            </w:pPr>
            <w:r>
              <w:rPr/>
              <w:t> </w:t>
            </w:r>
          </w:p>
        </w:tc>
        <w:tc>
          <w:tcPr>
            <w:tcW w:w="155" w:type="dxa"/>
            <w:tcBorders>
              <w:bottom w:val="single" w:sz="8" w:space="0" w:color="000000"/>
            </w:tcBorders>
            <w:tcMar>
              <w:bottom w:w="28" w:type="dxa"/>
            </w:tcMar>
            <w:vAlign w:val="center"/>
          </w:tcPr>
          <w:p>
            <w:pPr>
              <w:pStyle w:val="TableContents"/>
              <w:bidi w:val="0"/>
              <w:spacing w:before="0" w:after="283"/>
              <w:ind w:left="0" w:right="0" w:hanging="0"/>
              <w:jc w:val="center"/>
              <w:rPr/>
            </w:pPr>
            <w:r>
              <w:rPr/>
              <w:t> </w:t>
            </w:r>
          </w:p>
        </w:tc>
        <w:tc>
          <w:tcPr>
            <w:tcW w:w="942"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 xml:space="preserve">June 30, </w:t>
              <w:br/>
              <w:t>2025</w:t>
            </w:r>
          </w:p>
        </w:tc>
        <w:tc>
          <w:tcPr>
            <w:tcW w:w="90" w:type="dxa"/>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center"/>
              <w:rPr/>
            </w:pPr>
            <w:r>
              <w:rPr/>
              <w:t> </w:t>
            </w:r>
          </w:p>
        </w:tc>
        <w:tc>
          <w:tcPr>
            <w:tcW w:w="155" w:type="dxa"/>
            <w:tcBorders>
              <w:bottom w:val="single" w:sz="8" w:space="0" w:color="000000"/>
            </w:tcBorders>
            <w:tcMar>
              <w:bottom w:w="28" w:type="dxa"/>
            </w:tcMar>
            <w:vAlign w:val="center"/>
          </w:tcPr>
          <w:p>
            <w:pPr>
              <w:pStyle w:val="TableContents"/>
              <w:bidi w:val="0"/>
              <w:spacing w:before="0" w:after="283"/>
              <w:ind w:left="0" w:right="0" w:hanging="0"/>
              <w:jc w:val="center"/>
              <w:rPr/>
            </w:pPr>
            <w:r>
              <w:rPr/>
              <w:t> </w:t>
            </w:r>
          </w:p>
        </w:tc>
        <w:tc>
          <w:tcPr>
            <w:tcW w:w="1210" w:type="dxa"/>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 xml:space="preserve">December 31, </w:t>
              <w:br/>
              <w:t>2024</w:t>
            </w:r>
          </w:p>
        </w:tc>
        <w:tc>
          <w:tcPr>
            <w:tcW w:w="136" w:type="dxa"/>
            <w:tcBorders/>
            <w:vAlign w:val="center"/>
          </w:tcPr>
          <w:p>
            <w:pPr>
              <w:pStyle w:val="TableContents"/>
              <w:bidi w:val="0"/>
              <w:spacing w:before="0" w:after="283"/>
              <w:ind w:left="0" w:right="0" w:hanging="0"/>
              <w:jc w:val="center"/>
              <w:rPr/>
            </w:pPr>
            <w:r>
              <w:rPr/>
              <w:t> </w:t>
            </w:r>
          </w:p>
        </w:tc>
      </w:tr>
      <w:tr>
        <w:trPr/>
        <w:tc>
          <w:tcPr>
            <w:tcW w:w="7337" w:type="dxa"/>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center"/>
              <w:rPr/>
            </w:pPr>
            <w:r>
              <w:rPr/>
              <w:t> </w:t>
            </w:r>
          </w:p>
        </w:tc>
        <w:tc>
          <w:tcPr>
            <w:tcW w:w="155" w:type="dxa"/>
            <w:tcBorders/>
            <w:vAlign w:val="center"/>
          </w:tcPr>
          <w:p>
            <w:pPr>
              <w:pStyle w:val="TableContents"/>
              <w:bidi w:val="0"/>
              <w:spacing w:before="0" w:after="283"/>
              <w:ind w:left="0" w:right="0" w:hanging="0"/>
              <w:jc w:val="center"/>
              <w:rPr/>
            </w:pPr>
            <w:r>
              <w:rPr/>
              <w:t> </w:t>
            </w:r>
          </w:p>
        </w:tc>
        <w:tc>
          <w:tcPr>
            <w:tcW w:w="942" w:type="dxa"/>
            <w:tcBorders/>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(unaudited)</w:t>
            </w:r>
          </w:p>
        </w:tc>
        <w:tc>
          <w:tcPr>
            <w:tcW w:w="90" w:type="dxa"/>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center"/>
              <w:rPr/>
            </w:pPr>
            <w:r>
              <w:rPr/>
              <w:t> </w:t>
            </w:r>
          </w:p>
        </w:tc>
        <w:tc>
          <w:tcPr>
            <w:tcW w:w="155" w:type="dxa"/>
            <w:tcBorders/>
            <w:vAlign w:val="center"/>
          </w:tcPr>
          <w:p>
            <w:pPr>
              <w:pStyle w:val="TableContents"/>
              <w:bidi w:val="0"/>
              <w:spacing w:before="0" w:after="283"/>
              <w:ind w:left="0" w:right="0" w:hanging="0"/>
              <w:jc w:val="center"/>
              <w:rPr/>
            </w:pPr>
            <w:r>
              <w:rPr/>
              <w:t> </w:t>
            </w:r>
          </w:p>
        </w:tc>
        <w:tc>
          <w:tcPr>
            <w:tcW w:w="1210" w:type="dxa"/>
            <w:tcBorders/>
            <w:vAlign w:val="center"/>
          </w:tcPr>
          <w:p>
            <w:pPr>
              <w:pStyle w:val="TableContents"/>
              <w:bidi w:val="0"/>
              <w:spacing w:before="0" w:after="283"/>
              <w:ind w:left="0" w:right="0" w:hanging="0"/>
              <w:jc w:val="center"/>
              <w:rPr/>
            </w:pPr>
            <w:r>
              <w:rPr/>
              <w:t> </w:t>
            </w:r>
          </w:p>
        </w:tc>
        <w:tc>
          <w:tcPr>
            <w:tcW w:w="136" w:type="dxa"/>
            <w:tcBorders/>
            <w:vAlign w:val="center"/>
          </w:tcPr>
          <w:p>
            <w:pPr>
              <w:pStyle w:val="TableContents"/>
              <w:bidi w:val="0"/>
              <w:spacing w:before="0" w:after="283"/>
              <w:ind w:left="0" w:right="0" w:hanging="0"/>
              <w:jc w:val="center"/>
              <w:rPr/>
            </w:pPr>
            <w:r>
              <w:rPr/>
              <w:t> </w:t>
            </w:r>
          </w:p>
        </w:tc>
      </w:tr>
      <w:tr>
        <w:trPr/>
        <w:tc>
          <w:tcPr>
            <w:tcW w:w="73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On June 6, 2022, the Company entered into a revolving credit facility with MapleMark (the “MapleMark Revolver”) with a maturity date of August 25, 2025. The amount available under the MapleMark Revolver is $1,500,000. Principal and interest payments due under the MapleMark Revolver are payable monthly. Amounts due under the MapleMark Revolver bear interest at the greater of (a) the Base Rate (the rate of interest per annum quoted in the “Money Rates” section of The Wall Street Journal from time to time and designated as the “Prime Rate”) plus 0.25% per annum and (b) 5.50% per annum. At June 30, 2025, the interest rate was 7.75%. </w:t>
              <w:br/>
              <w:br/>
              <w:t>During the six months ended June 30, 2025, the Company borrowed the amount of $500,000 under the MapleMark Revolver, and repaid the amount of $500,000. During the three and six months ended June 30, 2025, the Company paid interest in the amount of $1,804 on the MapleMark Revolver. During the six months ended June 30, 2024, the Company did not draw on the MapleMark Revolver and no interest was incurred.</w:t>
            </w:r>
          </w:p>
        </w:tc>
        <w:tc>
          <w:tcPr>
            <w:tcW w:w="9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bidi w:val="0"/>
              <w:spacing w:before="0" w:after="283"/>
              <w:ind w:left="0" w:right="0" w:hanging="0"/>
              <w:jc w:val="right"/>
              <w:rPr/>
            </w:pPr>
            <w:r>
              <w:rPr/>
              <w:t> </w:t>
            </w:r>
            <w:r>
              <w:rPr>
                <w:rFonts w:ascii="Times New Roman;Times;Serif" w:hAnsi="Times New Roman;Times;Serif"/>
                <w:sz w:val="20"/>
              </w:rPr>
              <w:t>-</w:t>
            </w:r>
          </w:p>
        </w:tc>
        <w:tc>
          <w:tcPr>
            <w:tcW w:w="13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NOTES PAYABLE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2"/>
        <w:gridCol w:w="90"/>
        <w:gridCol w:w="170"/>
        <w:gridCol w:w="1010"/>
        <w:gridCol w:w="125"/>
        <w:gridCol w:w="90"/>
        <w:gridCol w:w="208"/>
        <w:gridCol w:w="1239"/>
        <w:gridCol w:w="171"/>
      </w:tblGrid>
      <w:tr>
        <w:trPr/>
        <w:tc>
          <w:tcPr>
            <w:tcW w:w="7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71" w:type="dxa"/>
            <w:tcBorders/>
            <w:vAlign w:val="center"/>
          </w:tcPr>
          <w:p>
            <w:pPr>
              <w:pStyle w:val="TableContents"/>
              <w:bidi w:val="0"/>
              <w:spacing w:before="0" w:after="283"/>
              <w:jc w:val="left"/>
              <w:rPr/>
            </w:pPr>
            <w:r>
              <w:rPr/>
              <w:t> </w:t>
            </w:r>
          </w:p>
        </w:tc>
      </w:tr>
      <w:tr>
        <w:trPr/>
        <w:tc>
          <w:tcPr>
            <w:tcW w:w="7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7" w:type="dxa"/>
            <w:gridSpan w:val="2"/>
            <w:tcBorders/>
            <w:vAlign w:val="center"/>
          </w:tcPr>
          <w:p>
            <w:pPr>
              <w:pStyle w:val="TableContents"/>
              <w:bidi w:val="0"/>
              <w:spacing w:before="0" w:after="283"/>
              <w:jc w:val="center"/>
              <w:rPr/>
            </w:pPr>
            <w:r>
              <w:rPr/>
              <w:t> </w:t>
            </w:r>
          </w:p>
        </w:tc>
        <w:tc>
          <w:tcPr>
            <w:tcW w:w="171" w:type="dxa"/>
            <w:tcBorders/>
            <w:vAlign w:val="center"/>
          </w:tcPr>
          <w:p>
            <w:pPr>
              <w:pStyle w:val="TableContents"/>
              <w:bidi w:val="0"/>
              <w:spacing w:before="0" w:after="283"/>
              <w:ind w:left="0" w:right="0" w:hanging="0"/>
              <w:jc w:val="left"/>
              <w:rPr/>
            </w:pPr>
            <w:r>
              <w:rPr/>
              <w:t> </w:t>
            </w:r>
          </w:p>
        </w:tc>
      </w:tr>
      <w:tr>
        <w:trPr/>
        <w:tc>
          <w:tcPr>
            <w:tcW w:w="7102" w:type="dxa"/>
            <w:tcBorders/>
            <w:shd w:fill="CCEEFF" w:val="clear"/>
            <w:vAlign w:val="center"/>
          </w:tcPr>
          <w:p>
            <w:pPr>
              <w:pStyle w:val="TableContents"/>
              <w:bidi w:val="0"/>
              <w:spacing w:before="0" w:after="283"/>
              <w:jc w:val="left"/>
              <w:rPr/>
            </w:pPr>
            <w:r>
              <w:rPr/>
              <w:t xml:space="preserve">On June 6, 2022, the Company entered into a term loan agreement with MapleMark (the “MapleMark Term Loan 1”) for the original amount of $5,324,733. On June 13, 2023, the Company entered into a term loan with MapleMark Bank (the “MapleMark Term Loan 3”) in the amount of $9,057,840. Principal and interest due on the MapleMark Term Loan 1 in the amounts of $5,324,733 and $61,715, respectively, were paid with proceeds of the MapleMark Term Loan 3. The MapleMark Term Loan 3 is payable in monthly installments of $80,025 commencing July 1, 2023 and continuing through June 13, 2048. </w:t>
              <w:br/>
              <w:t xml:space="preserve">  </w:t>
              <w:br/>
              <w:t xml:space="preserve">Amounts outstanding under the Maple Mark Term Loan 3 will bear interest at the rate equal to the lesser of (a) the maximum lawful rate, or (b) the greater of (i) WSJP (the “Prime Rate” as published by The Wall Street Journal) plus 1.25% per annum or (ii) 4.50% per annum. At June 30, 2025, the interest rate was 9.50%. The MapleMark Term Loan 3 matures on June 13, 2048. </w:t>
              <w:br/>
              <w:t xml:space="preserve">  </w:t>
              <w:br/>
              <w:t xml:space="preserve">The MapleMark Term Loan 3 contains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MapleMark Term Loan 3 also provides that the Company and its subsidiaries on a consolidated basis, meet a Fixed Charge Coverage Ratio as described in detail in the MapleMark Term Loan 3. The MapleMark Term Loan 3 contains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Innovative Food Properties LLC and are secured by mortgages on their real estate located in Florida, Illinois, and Pennsylvania and substantially all of their assets, in each case, subject to certain exceptions and permitted liens. </w:t>
              <w:br/>
              <w:t xml:space="preserve">  </w:t>
              <w:br/>
              <w:t>The Company created a discount on the MapleMark Term Loan 3 for costs in the amount of $385,803 which will be amortized over the life of the loan. During the three and six months ended June 30, 2025, the Company amortized $1,284 and $2,568 of these costs to interest expense. During the three months ended June 30, 2025, the Company made principal and interest payments in the amount of $27,620 and $198,022, respectively. During the six months ended June 30, 2025, the Company made principal and interest payments in the amount of $58,023 and $392,209, respectively. At June 30, 2025, accrued interest on this note was $64,437. During the three and six months ended June 30, 2024, the Company amortized $1,284 and $2,568 of discount costs, respectively, to interest expense. During the three and six months ended June 30, 2024, the Company made principal payments and interest payments in the amount of $20,839 and $43,548, respectively, on this loan. At June 30, 2024, accrued interest on this note was $72,655.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8,837,089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8,895,112</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7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0"/>
              <w:jc w:val="left"/>
              <w:rPr/>
            </w:pPr>
            <w:r>
              <w:rPr/>
              <w:t> </w:t>
            </w:r>
          </w:p>
        </w:tc>
      </w:tr>
      <w:tr>
        <w:trPr/>
        <w:tc>
          <w:tcPr>
            <w:tcW w:w="7102" w:type="dxa"/>
            <w:tcBorders/>
            <w:shd w:fill="CCEEFF" w:val="clear"/>
            <w:vAlign w:val="center"/>
          </w:tcPr>
          <w:p>
            <w:pPr>
              <w:pStyle w:val="TableContents"/>
              <w:bidi w:val="0"/>
              <w:spacing w:before="0" w:after="283"/>
              <w:jc w:val="left"/>
              <w:rPr/>
            </w:pPr>
            <w:r>
              <w:rPr/>
              <w:t>A note payable in the amount of $20,000. The note was due in January 2006 and the Company is currently accruing interest on this note at 1.9%. During the three and six months ended June 30, 2025, the Company accrued interest in the amount of $96 and $192, respectively, on this note. At June 30, 2025, accrued interest on this note was $19,058. During the three and six months ended June 30, 2024, the Company accrued interest in the amount of $96 and $192, respectively, on this note. At June 30, 2024, accrued interest on this note was $18,674.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20,000</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7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ind w:left="0" w:right="0" w:hanging="0"/>
              <w:jc w:val="left"/>
              <w:rPr/>
            </w:pPr>
            <w:r>
              <w:rPr/>
              <w:t> </w:t>
            </w:r>
          </w:p>
        </w:tc>
      </w:tr>
      <w:tr>
        <w:trPr/>
        <w:tc>
          <w:tcPr>
            <w:tcW w:w="7102" w:type="dxa"/>
            <w:tcBorders/>
            <w:shd w:fill="CCEEFF" w:val="clear"/>
            <w:vAlign w:val="center"/>
          </w:tcPr>
          <w:p>
            <w:pPr>
              <w:pStyle w:val="TableContents"/>
              <w:bidi w:val="0"/>
              <w:spacing w:before="0" w:after="283"/>
              <w:jc w:val="left"/>
              <w:rPr/>
            </w:pPr>
            <w:r>
              <w:rPr/>
              <w:t xml:space="preserve">A note payable in the amount of $350,000 issued in connection with the GO Acquisition (the GO Note”). The GO Note is payable in 60 equal monthly instalments of $6,766 and bears interest at the rate of 6.0%. During the three months ended June 30, 2025, the Company made principal and interest payments on the GO note in the amount of $15,430 and $4,870, respectively. </w:t>
              <w:br/>
              <w:t xml:space="preserve">  </w:t>
              <w:br/>
              <w:t>During the six months ended June 30, 2025, the Company made principal and interest payments on the GO note in the amount of $30,631 and $9,969,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314,353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344,984</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7102"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9,171,442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9,260,096</w:t>
            </w:r>
          </w:p>
        </w:tc>
        <w:tc>
          <w:tcPr>
            <w:tcW w:w="171" w:type="dxa"/>
            <w:tcBorders/>
            <w:vAlign w:val="center"/>
          </w:tcPr>
          <w:p>
            <w:pPr>
              <w:pStyle w:val="TableContents"/>
              <w:bidi w:val="0"/>
              <w:spacing w:before="0" w:after="283"/>
              <w:ind w:left="0" w:right="0" w:hanging="0"/>
              <w:jc w:val="left"/>
              <w:rPr/>
            </w:pPr>
            <w:r>
              <w:rPr/>
              <w:t> </w:t>
            </w:r>
          </w:p>
        </w:tc>
      </w:tr>
      <w:tr>
        <w:trPr/>
        <w:tc>
          <w:tcPr>
            <w:tcW w:w="7102" w:type="dxa"/>
            <w:tcBorders/>
            <w:shd w:fill="CCEEFF" w:val="clear"/>
            <w:vAlign w:val="center"/>
          </w:tcPr>
          <w:p>
            <w:pPr>
              <w:pStyle w:val="TableContents"/>
              <w:bidi w:val="0"/>
              <w:spacing w:before="0" w:after="283"/>
              <w:jc w:val="left"/>
              <w:rPr/>
            </w:pPr>
            <w:r>
              <w:rPr/>
              <w:t>Discount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(374,802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(377,370</w:t>
            </w:r>
          </w:p>
        </w:tc>
        <w:tc>
          <w:tcPr>
            <w:tcW w:w="171" w:type="dxa"/>
            <w:tcBorders/>
            <w:shd w:fill="CCEEFF" w:val="clear"/>
            <w:vAlign w:val="center"/>
          </w:tcPr>
          <w:p>
            <w:pPr>
              <w:pStyle w:val="TableContents"/>
              <w:bidi w:val="0"/>
              <w:spacing w:before="0" w:after="283"/>
              <w:ind w:left="0" w:right="0" w:hanging="0"/>
              <w:jc w:val="left"/>
              <w:rPr/>
            </w:pPr>
            <w:r>
              <w:rPr/>
              <w:t>)</w:t>
            </w:r>
          </w:p>
        </w:tc>
      </w:tr>
      <w:tr>
        <w:trPr/>
        <w:tc>
          <w:tcPr>
            <w:tcW w:w="7102" w:type="dxa"/>
            <w:tcBorders/>
            <w:vAlign w:val="center"/>
          </w:tcPr>
          <w:p>
            <w:pPr>
              <w:pStyle w:val="TableContents"/>
              <w:bidi w:val="0"/>
              <w:spacing w:before="0" w:after="283"/>
              <w:jc w:val="left"/>
              <w:rPr/>
            </w:pPr>
            <w:r>
              <w:rPr/>
              <w:t>Net of discount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8,796,640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double" w:sz="6" w:space="0" w:color="000000"/>
            </w:tcBorders>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tcMar>
              <w:bottom w:w="28" w:type="dxa"/>
            </w:tcMar>
            <w:vAlign w:val="center"/>
          </w:tcPr>
          <w:p>
            <w:pPr>
              <w:pStyle w:val="TableContents"/>
              <w:bidi w:val="0"/>
              <w:spacing w:before="0" w:after="283"/>
              <w:jc w:val="right"/>
              <w:rPr/>
            </w:pPr>
            <w:r>
              <w:rPr/>
              <w:t>8,882,726</w:t>
            </w:r>
          </w:p>
        </w:tc>
        <w:tc>
          <w:tcPr>
            <w:tcW w:w="171" w:type="dxa"/>
            <w:tcBorders/>
            <w:vAlign w:val="center"/>
          </w:tcPr>
          <w:p>
            <w:pPr>
              <w:pStyle w:val="TableContents"/>
              <w:bidi w:val="0"/>
              <w:spacing w:before="0" w:after="283"/>
              <w:ind w:left="0" w:right="0" w:hanging="0"/>
              <w:jc w:val="left"/>
              <w:rPr/>
            </w:pPr>
            <w:r>
              <w:rPr/>
              <w:t> </w:t>
            </w:r>
          </w:p>
        </w:tc>
      </w:tr>
      <w:tr>
        <w:trPr/>
        <w:tc>
          <w:tcPr>
            <w:tcW w:w="7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7102" w:type="dxa"/>
            <w:tcBorders/>
            <w:vAlign w:val="center"/>
          </w:tcPr>
          <w:p>
            <w:pPr>
              <w:pStyle w:val="TableContents"/>
              <w:bidi w:val="0"/>
              <w:spacing w:before="0" w:after="283"/>
              <w:jc w:val="left"/>
              <w:rPr/>
            </w:pPr>
            <w:r>
              <w:rPr/>
              <w:t>Current portion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197,347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190,052</w:t>
            </w:r>
          </w:p>
        </w:tc>
        <w:tc>
          <w:tcPr>
            <w:tcW w:w="171" w:type="dxa"/>
            <w:tcBorders/>
            <w:vAlign w:val="center"/>
          </w:tcPr>
          <w:p>
            <w:pPr>
              <w:pStyle w:val="TableContents"/>
              <w:bidi w:val="0"/>
              <w:spacing w:before="0" w:after="283"/>
              <w:ind w:left="0" w:right="0" w:hanging="0"/>
              <w:jc w:val="left"/>
              <w:rPr/>
            </w:pPr>
            <w:r>
              <w:rPr/>
              <w:t> </w:t>
            </w:r>
          </w:p>
        </w:tc>
      </w:tr>
      <w:tr>
        <w:trPr/>
        <w:tc>
          <w:tcPr>
            <w:tcW w:w="7102" w:type="dxa"/>
            <w:tcBorders/>
            <w:shd w:fill="CCEEFF" w:val="clear"/>
            <w:vAlign w:val="center"/>
          </w:tcPr>
          <w:p>
            <w:pPr>
              <w:pStyle w:val="TableContents"/>
              <w:bidi w:val="0"/>
              <w:spacing w:before="0" w:after="283"/>
              <w:jc w:val="left"/>
              <w:rPr/>
            </w:pPr>
            <w:r>
              <w:rPr/>
              <w:t>Long-term maturities, net of discount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8,599,293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8,692,674</w:t>
            </w:r>
          </w:p>
        </w:tc>
        <w:tc>
          <w:tcPr>
            <w:tcW w:w="171" w:type="dxa"/>
            <w:tcBorders/>
            <w:shd w:fill="CCEEFF" w:val="clear"/>
            <w:vAlign w:val="center"/>
          </w:tcPr>
          <w:p>
            <w:pPr>
              <w:pStyle w:val="TableContents"/>
              <w:bidi w:val="0"/>
              <w:spacing w:before="0" w:after="283"/>
              <w:ind w:left="0" w:right="0" w:hanging="0"/>
              <w:jc w:val="left"/>
              <w:rPr/>
            </w:pPr>
            <w:r>
              <w:rPr/>
              <w:t> </w:t>
            </w:r>
          </w:p>
        </w:tc>
      </w:tr>
      <w:tr>
        <w:trPr/>
        <w:tc>
          <w:tcPr>
            <w:tcW w:w="7102"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8,796,640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double" w:sz="6" w:space="0" w:color="000000"/>
            </w:tcBorders>
            <w:tcMar>
              <w:bottom w:w="28" w:type="dxa"/>
            </w:tcMar>
            <w:vAlign w:val="center"/>
          </w:tcPr>
          <w:p>
            <w:pPr>
              <w:pStyle w:val="TableContents"/>
              <w:bidi w:val="0"/>
              <w:spacing w:before="0" w:after="283"/>
              <w:jc w:val="left"/>
              <w:rPr/>
            </w:pPr>
            <w:r>
              <w:rPr/>
              <w:t>$</w:t>
            </w:r>
          </w:p>
        </w:tc>
        <w:tc>
          <w:tcPr>
            <w:tcW w:w="1239" w:type="dxa"/>
            <w:tcBorders>
              <w:bottom w:val="double" w:sz="6" w:space="0" w:color="000000"/>
            </w:tcBorders>
            <w:tcMar>
              <w:bottom w:w="28" w:type="dxa"/>
            </w:tcMar>
            <w:vAlign w:val="center"/>
          </w:tcPr>
          <w:p>
            <w:pPr>
              <w:pStyle w:val="TableContents"/>
              <w:bidi w:val="0"/>
              <w:spacing w:before="0" w:after="283"/>
              <w:jc w:val="right"/>
              <w:rPr/>
            </w:pPr>
            <w:r>
              <w:rPr/>
              <w:t>8,882,726</w:t>
            </w:r>
          </w:p>
        </w:tc>
        <w:tc>
          <w:tcPr>
            <w:tcW w:w="171"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 total of $83,495 and $91,347 accrued interest on notes payable at June 30, 2025 and December 31, 2024, respectively.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maturities of notes payable as of June 30, 2025 are as follows: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ended December 31,</w:t>
      </w:r>
    </w:p>
    <w:p>
      <w:pPr>
        <w:pStyle w:val="TextBody"/>
        <w:bidi w:val="0"/>
        <w:jc w:val="left"/>
        <w:rPr>
          <w:caps w:val="false"/>
          <w:smallCaps w:val="false"/>
        </w:rPr>
      </w:pPr>
      <w:r>
        <w:rPr>
          <w:caps w:val="false"/>
          <w:smallCaps w:val="false"/>
        </w:rPr>
        <w:t> </w:t>
      </w:r>
    </w:p>
    <w:tbl>
      <w:tblPr>
        <w:tblW w:w="2445" w:type="dxa"/>
        <w:jc w:val="left"/>
        <w:tblInd w:w="0" w:type="dxa"/>
        <w:tblLayout w:type="fixed"/>
        <w:tblCellMar>
          <w:top w:w="0" w:type="dxa"/>
          <w:left w:w="0" w:type="dxa"/>
          <w:bottom w:w="0" w:type="dxa"/>
          <w:right w:w="0" w:type="dxa"/>
        </w:tblCellMar>
      </w:tblPr>
      <w:tblGrid>
        <w:gridCol w:w="1040"/>
        <w:gridCol w:w="90"/>
        <w:gridCol w:w="170"/>
        <w:gridCol w:w="1010"/>
        <w:gridCol w:w="135"/>
      </w:tblGrid>
      <w:tr>
        <w:trPr/>
        <w:tc>
          <w:tcPr>
            <w:tcW w:w="1040" w:type="dxa"/>
            <w:tcBorders/>
            <w:shd w:fill="CCEEFF" w:val="clear"/>
            <w:vAlign w:val="center"/>
          </w:tcPr>
          <w:p>
            <w:pPr>
              <w:pStyle w:val="TableContents"/>
              <w:bidi w:val="0"/>
              <w:spacing w:before="0" w:after="283"/>
              <w:ind w:left="0" w:right="0" w:hanging="0"/>
              <w:jc w:val="left"/>
              <w:rPr/>
            </w:pPr>
            <w:r>
              <w:rPr/>
              <w:t>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149,576</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1040" w:type="dxa"/>
            <w:tcBorders/>
            <w:vAlign w:val="center"/>
          </w:tcPr>
          <w:p>
            <w:pPr>
              <w:pStyle w:val="TableContents"/>
              <w:bidi w:val="0"/>
              <w:spacing w:before="0" w:after="283"/>
              <w:jc w:val="left"/>
              <w:rPr/>
            </w:pPr>
            <w:r>
              <w:rPr/>
              <w:t>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185,963</w:t>
            </w:r>
          </w:p>
        </w:tc>
        <w:tc>
          <w:tcPr>
            <w:tcW w:w="135" w:type="dxa"/>
            <w:tcBorders/>
            <w:vAlign w:val="center"/>
          </w:tcPr>
          <w:p>
            <w:pPr>
              <w:pStyle w:val="TableContents"/>
              <w:bidi w:val="0"/>
              <w:spacing w:before="0" w:after="283"/>
              <w:ind w:left="0" w:right="0" w:hanging="0"/>
              <w:jc w:val="left"/>
              <w:rPr/>
            </w:pPr>
            <w:r>
              <w:rPr/>
              <w:t> </w:t>
            </w:r>
          </w:p>
        </w:tc>
      </w:tr>
      <w:tr>
        <w:trPr/>
        <w:tc>
          <w:tcPr>
            <w:tcW w:w="1040" w:type="dxa"/>
            <w:tcBorders/>
            <w:shd w:fill="CCEEFF" w:val="clear"/>
            <w:vAlign w:val="center"/>
          </w:tcPr>
          <w:p>
            <w:pPr>
              <w:pStyle w:val="TableContents"/>
              <w:bidi w:val="0"/>
              <w:spacing w:before="0" w:after="283"/>
              <w:jc w:val="left"/>
              <w:rPr/>
            </w:pPr>
            <w:r>
              <w:rPr/>
              <w:t>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202,312</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1040" w:type="dxa"/>
            <w:tcBorders/>
            <w:vAlign w:val="center"/>
          </w:tcPr>
          <w:p>
            <w:pPr>
              <w:pStyle w:val="TableContents"/>
              <w:bidi w:val="0"/>
              <w:spacing w:before="0" w:after="283"/>
              <w:jc w:val="left"/>
              <w:rPr/>
            </w:pPr>
            <w:r>
              <w:rPr/>
              <w:t>2028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220,172</w:t>
            </w:r>
          </w:p>
        </w:tc>
        <w:tc>
          <w:tcPr>
            <w:tcW w:w="135" w:type="dxa"/>
            <w:tcBorders/>
            <w:vAlign w:val="center"/>
          </w:tcPr>
          <w:p>
            <w:pPr>
              <w:pStyle w:val="TableContents"/>
              <w:bidi w:val="0"/>
              <w:spacing w:before="0" w:after="283"/>
              <w:ind w:left="0" w:right="0" w:hanging="0"/>
              <w:jc w:val="left"/>
              <w:rPr/>
            </w:pPr>
            <w:r>
              <w:rPr/>
              <w:t> </w:t>
            </w:r>
          </w:p>
        </w:tc>
      </w:tr>
      <w:tr>
        <w:trPr/>
        <w:tc>
          <w:tcPr>
            <w:tcW w:w="1040" w:type="dxa"/>
            <w:tcBorders/>
            <w:shd w:fill="CCEEFF" w:val="clear"/>
            <w:vAlign w:val="center"/>
          </w:tcPr>
          <w:p>
            <w:pPr>
              <w:pStyle w:val="TableContents"/>
              <w:bidi w:val="0"/>
              <w:spacing w:before="0" w:after="283"/>
              <w:jc w:val="left"/>
              <w:rPr/>
            </w:pPr>
            <w:r>
              <w:rPr/>
              <w:t>2029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212,416</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1040" w:type="dxa"/>
            <w:tcBorders/>
            <w:vAlign w:val="center"/>
          </w:tcPr>
          <w:p>
            <w:pPr>
              <w:pStyle w:val="TableContents"/>
              <w:bidi w:val="0"/>
              <w:spacing w:before="0" w:after="283"/>
              <w:jc w:val="left"/>
              <w:rPr/>
            </w:pPr>
            <w:r>
              <w:rPr/>
              <w:t>Thereafter</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8,201,003</w:t>
            </w:r>
          </w:p>
        </w:tc>
        <w:tc>
          <w:tcPr>
            <w:tcW w:w="135" w:type="dxa"/>
            <w:tcBorders/>
            <w:vAlign w:val="center"/>
          </w:tcPr>
          <w:p>
            <w:pPr>
              <w:pStyle w:val="TableContents"/>
              <w:bidi w:val="0"/>
              <w:spacing w:before="0" w:after="283"/>
              <w:ind w:left="0" w:right="0" w:hanging="0"/>
              <w:jc w:val="left"/>
              <w:rPr/>
            </w:pPr>
            <w:r>
              <w:rPr/>
              <w:t> </w:t>
            </w:r>
          </w:p>
        </w:tc>
      </w:tr>
      <w:tr>
        <w:trPr/>
        <w:tc>
          <w:tcPr>
            <w:tcW w:w="104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9,171,442</w:t>
            </w:r>
          </w:p>
        </w:tc>
        <w:tc>
          <w:tcPr>
            <w:tcW w:w="13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EQUITY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total number of shares of common stock issued and outstanding was 57,196,294 and 54,351,997, respectively. As of December 31, 2024, total number of shares of common stock issued and outstanding was 56,009,032 and 53,164,735, respectively. At June 30, 2025 and December 31, 2024, a total of 2,844,297 shares of common stock were deemed issued but not outstanding. At June 30, 2025 and December 31, 2024, an additional 433,687 and 738,032 shares, respectively, were classified as common stock to be issued. These shares represent shares of common stock vested under the Company’s executive stock compensation plans, and are in the process of being administratively issued.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There was no gain or loss recorded on this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2025, the Company issued 24,026 shares of common stock pursuant to the cashless exercise of options held by an ex-employee to purchase 50,000 shares of common stock at a price of $1.00 per share. There was no gain or loss recorded on this transaction.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the Company issued the following shares of common stock to its executive officers pursuant to executive compensation plans: 530,665 shares were issued to its CEO; 133,632 shares were issued to its COO; and 73,735 shares were issued to its CFO. These shares were classified as shares to be issued on the Company’s balance sheet at December 31, 2024. There was no gain or loss recorded on this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2025, the Company issued 273,026 shares of common stock to its CEO pursuant to an executive compensation plan. There was no gain or loss recorded on this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2025, the Company issued 92,168 shares of common stock to its CFO pursuant to an executive compensation plan. There was no gain or loss recorded on this transaction.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2024, the Company issued a net amount of 24,138 shares of common stock pursuant to the cashless exercise of 50,000 options at an exercise price of $0.60 per shares. There was no gain or loss on this transaction because the shares were issued at the fair value of $1.16 per share.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 Received from Sale of Subsidiary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2024, the Company sold 100% of the equity interests in Haley for the return of 21,126 shares of the Company’s common stock held by the buyer. (see note 3). The Company Haley had no assets or liabilities at the time of the sale; the Company valued the 21,126 shares of common stock at the market price on the date of the acquisition of $1.00 per sale and recorded a gain in the amount of $21,126 on this transaction.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based executive compensation plans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CEO Stock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2023, the Company entered into an employment agreement with Bill Bennett to become the Company’s CEO. On November 3, 2023, the Company recognized that the hiring of Mr. Bennett was protracted, and the original employment agreement calculated the number of shares of common stock to be granted in connection with the CEO Stock Plan on the basis of the number of shares of common stock outstanding as of October 2022, which did not take into consideration the number of shares that were issued to a departing executive and to certain other employees of the Company thereafter. Accordingly, the number of shares issuable to Mr. Bennett at each price target was adjusted, effective as of the original date of the plan. Pursuant to this agreement, Mr. Bennett was provided with an incentive compensation plan (the “CEO Stock Plan”) whereby Mr. Bennett would be granted shares of the Company’s common stock upon the common stock meeting certain price points at various 60-day volume weighted prices, as described below:</w:t>
      </w:r>
    </w:p>
    <w:p>
      <w:pPr>
        <w:pStyle w:val="TextBody"/>
        <w:bidi w:val="0"/>
        <w:jc w:val="left"/>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483"/>
        <w:gridCol w:w="1171"/>
        <w:gridCol w:w="90"/>
        <w:gridCol w:w="90"/>
        <w:gridCol w:w="402"/>
        <w:gridCol w:w="1837"/>
        <w:gridCol w:w="436"/>
        <w:gridCol w:w="182"/>
        <w:gridCol w:w="182"/>
        <w:gridCol w:w="1472"/>
        <w:gridCol w:w="135"/>
      </w:tblGrid>
      <w:tr>
        <w:trPr/>
        <w:tc>
          <w:tcPr>
            <w:tcW w:w="1654" w:type="dxa"/>
            <w:gridSpan w:val="2"/>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511" w:type="dxa"/>
            <w:gridSpan w:val="6"/>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Number of Shares Granted - Lower of:</w:t>
            </w:r>
          </w:p>
        </w:tc>
        <w:tc>
          <w:tcPr>
            <w:tcW w:w="135" w:type="dxa"/>
            <w:tcBorders/>
            <w:vAlign w:val="center"/>
          </w:tcPr>
          <w:p>
            <w:pPr>
              <w:pStyle w:val="TableContents"/>
              <w:bidi w:val="0"/>
              <w:spacing w:before="0" w:after="283"/>
              <w:ind w:left="0" w:right="0" w:hanging="0"/>
              <w:jc w:val="left"/>
              <w:rPr/>
            </w:pPr>
            <w:r>
              <w:rPr/>
              <w:t> </w:t>
            </w:r>
          </w:p>
        </w:tc>
      </w:tr>
      <w:tr>
        <w:trPr/>
        <w:tc>
          <w:tcPr>
            <w:tcW w:w="1654" w:type="dxa"/>
            <w:gridSpan w:val="2"/>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2239"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Number of Shares Issued</w:t>
            </w:r>
          </w:p>
        </w:tc>
        <w:tc>
          <w:tcPr>
            <w:tcW w:w="436"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654"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Maximum</w:t>
            </w:r>
          </w:p>
        </w:tc>
        <w:tc>
          <w:tcPr>
            <w:tcW w:w="135" w:type="dxa"/>
            <w:tcBorders/>
            <w:vAlign w:val="center"/>
          </w:tcPr>
          <w:p>
            <w:pPr>
              <w:pStyle w:val="TableContents"/>
              <w:bidi w:val="0"/>
              <w:spacing w:before="0" w:after="283"/>
              <w:ind w:left="0" w:right="0" w:hanging="0"/>
              <w:jc w:val="left"/>
              <w:rPr/>
            </w:pPr>
            <w:r>
              <w:rPr/>
              <w:t> </w:t>
            </w:r>
          </w:p>
        </w:tc>
      </w:tr>
      <w:tr>
        <w:trPr/>
        <w:tc>
          <w:tcPr>
            <w:tcW w:w="1654" w:type="dxa"/>
            <w:gridSpan w:val="2"/>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2239"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and Outstanding on</w:t>
            </w:r>
          </w:p>
        </w:tc>
        <w:tc>
          <w:tcPr>
            <w:tcW w:w="436"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654"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Number of</w:t>
            </w:r>
          </w:p>
        </w:tc>
        <w:tc>
          <w:tcPr>
            <w:tcW w:w="135" w:type="dxa"/>
            <w:tcBorders/>
            <w:vAlign w:val="center"/>
          </w:tcPr>
          <w:p>
            <w:pPr>
              <w:pStyle w:val="TableContents"/>
              <w:bidi w:val="0"/>
              <w:spacing w:before="0" w:after="283"/>
              <w:ind w:left="0" w:right="0" w:hanging="0"/>
              <w:jc w:val="left"/>
              <w:rPr/>
            </w:pPr>
            <w:r>
              <w:rPr/>
              <w:t> </w:t>
            </w:r>
          </w:p>
        </w:tc>
      </w:tr>
      <w:tr>
        <w:trPr/>
        <w:tc>
          <w:tcPr>
            <w:tcW w:w="1654"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Stock Price Target</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2239"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Grant Date Multiplied by:</w:t>
            </w:r>
          </w:p>
        </w:tc>
        <w:tc>
          <w:tcPr>
            <w:tcW w:w="436"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35" w:type="dxa"/>
            <w:tcBorders/>
            <w:vAlign w:val="center"/>
          </w:tcPr>
          <w:p>
            <w:pPr>
              <w:pStyle w:val="TableContents"/>
              <w:bidi w:val="0"/>
              <w:spacing w:before="0" w:after="283"/>
              <w:ind w:left="0" w:right="0" w:hanging="0"/>
              <w:jc w:val="left"/>
              <w:rPr/>
            </w:pPr>
            <w:r>
              <w:rPr/>
              <w:t> </w:t>
            </w:r>
          </w:p>
        </w:tc>
      </w:tr>
      <w:tr>
        <w:trPr/>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975,133</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0.80</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02" w:type="dxa"/>
            <w:tcBorders/>
            <w:vAlign w:val="center"/>
          </w:tcPr>
          <w:p>
            <w:pPr>
              <w:pStyle w:val="TableContents"/>
              <w:bidi w:val="0"/>
              <w:spacing w:before="0" w:after="283"/>
              <w:ind w:left="0" w:right="0" w:hanging="0"/>
              <w:jc w:val="left"/>
              <w:rPr/>
            </w:pPr>
            <w:r>
              <w:rPr/>
              <w:t> </w:t>
            </w:r>
          </w:p>
        </w:tc>
        <w:tc>
          <w:tcPr>
            <w:tcW w:w="1837"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43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731,350</w:t>
            </w:r>
          </w:p>
        </w:tc>
        <w:tc>
          <w:tcPr>
            <w:tcW w:w="135" w:type="dxa"/>
            <w:tcBorders/>
            <w:vAlign w:val="center"/>
          </w:tcPr>
          <w:p>
            <w:pPr>
              <w:pStyle w:val="TableContents"/>
              <w:bidi w:val="0"/>
              <w:spacing w:before="0" w:after="283"/>
              <w:ind w:left="0" w:right="0" w:hanging="0"/>
              <w:jc w:val="left"/>
              <w:rPr/>
            </w:pPr>
            <w:r>
              <w:rPr/>
              <w:t> </w:t>
            </w:r>
          </w:p>
        </w:tc>
      </w:tr>
      <w:tr>
        <w:trPr/>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487,567</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02" w:type="dxa"/>
            <w:tcBorders/>
            <w:vAlign w:val="center"/>
          </w:tcPr>
          <w:p>
            <w:pPr>
              <w:pStyle w:val="TableContents"/>
              <w:bidi w:val="0"/>
              <w:spacing w:before="0" w:after="283"/>
              <w:ind w:left="0" w:right="0" w:hanging="0"/>
              <w:jc w:val="left"/>
              <w:rPr/>
            </w:pPr>
            <w:r>
              <w:rPr/>
              <w:t> </w:t>
            </w:r>
          </w:p>
        </w:tc>
        <w:tc>
          <w:tcPr>
            <w:tcW w:w="1837"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0.75</w:t>
            </w:r>
          </w:p>
        </w:tc>
        <w:tc>
          <w:tcPr>
            <w:tcW w:w="43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365,675</w:t>
            </w:r>
          </w:p>
        </w:tc>
        <w:tc>
          <w:tcPr>
            <w:tcW w:w="135" w:type="dxa"/>
            <w:tcBorders/>
            <w:vAlign w:val="center"/>
          </w:tcPr>
          <w:p>
            <w:pPr>
              <w:pStyle w:val="TableContents"/>
              <w:bidi w:val="0"/>
              <w:spacing w:before="0" w:after="283"/>
              <w:ind w:left="0" w:right="0" w:hanging="0"/>
              <w:jc w:val="left"/>
              <w:rPr/>
            </w:pPr>
            <w:r>
              <w:rPr/>
              <w:t> </w:t>
            </w:r>
          </w:p>
        </w:tc>
      </w:tr>
      <w:tr>
        <w:trPr/>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0.75</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365,675</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02" w:type="dxa"/>
            <w:tcBorders/>
            <w:vAlign w:val="center"/>
          </w:tcPr>
          <w:p>
            <w:pPr>
              <w:pStyle w:val="TableContents"/>
              <w:bidi w:val="0"/>
              <w:spacing w:before="0" w:after="283"/>
              <w:ind w:left="0" w:right="0" w:hanging="0"/>
              <w:jc w:val="left"/>
              <w:rPr/>
            </w:pPr>
            <w:r>
              <w:rPr/>
              <w:t> </w:t>
            </w:r>
          </w:p>
        </w:tc>
        <w:tc>
          <w:tcPr>
            <w:tcW w:w="1837"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43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243,783</w:t>
            </w:r>
          </w:p>
        </w:tc>
        <w:tc>
          <w:tcPr>
            <w:tcW w:w="135" w:type="dxa"/>
            <w:tcBorders/>
            <w:vAlign w:val="center"/>
          </w:tcPr>
          <w:p>
            <w:pPr>
              <w:pStyle w:val="TableContents"/>
              <w:bidi w:val="0"/>
              <w:spacing w:before="0" w:after="283"/>
              <w:ind w:left="0" w:right="0" w:hanging="0"/>
              <w:jc w:val="left"/>
              <w:rPr/>
            </w:pPr>
            <w:r>
              <w:rPr/>
              <w:t> </w:t>
            </w:r>
          </w:p>
        </w:tc>
      </w:tr>
      <w:tr>
        <w:trPr/>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243,783</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02" w:type="dxa"/>
            <w:tcBorders/>
            <w:vAlign w:val="center"/>
          </w:tcPr>
          <w:p>
            <w:pPr>
              <w:pStyle w:val="TableContents"/>
              <w:bidi w:val="0"/>
              <w:spacing w:before="0" w:after="283"/>
              <w:ind w:left="0" w:right="0" w:hanging="0"/>
              <w:jc w:val="left"/>
              <w:rPr/>
            </w:pPr>
            <w:r>
              <w:rPr/>
              <w:t> </w:t>
            </w:r>
          </w:p>
        </w:tc>
        <w:tc>
          <w:tcPr>
            <w:tcW w:w="1837"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43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243,783</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CEO Stock Plan was determined via a Monte Carlo market-based performance stock awards model to be $660,541. This amount will be recorded as a charge to compensation expense and additional paid-in capital on a straight-line basis over 34 months. During the three and six months ended June 30, 2025, the amount of $58,283 and $116,566, respectively, were charged to operations pursuant to the CEO Stock Plan. During the three months and six months ended June 30, 2024, the amounts of $58,283 and $116,566, respectively, were charged to operations pursuant to the CEO Stock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2023, the Company issued 678,302 shares of common stock, net of 296,831 shares withheld for income tax purposes, to its Chief Executive Officer pursuant the achievement of the $0.60 price target in the CEO Stock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2024, 731,350 shares of common stock vested pursuant to the achievement of the $0.80 price target. These shares were issued on July 9,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2024, 487,567 shares of common stock vested pursuant to the achievement of the $1.00 price target. These shares were issued on July 9,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2024, the price target of $1.20 per share under the CEO Stock Plan was achieved and 365,675 shares of common stock vested; on October 7, 2024, the price target of $1.40 per share under the CEO Stock Plan was achieved and 365,675 shares of common stock vested; on December 16, 2024, the price target of $1.60 per share under the CEO Stock Plan was achieved and 243,783 shares of common stock vested. The total number of shares vested at for achievement of the $1.20, $1.40, and $1.60 price targets was 975,133. On February 6, 2025, a total of 530,665 shares of common stock were issued in satisfaction of this obligation, net of 444,468 shares withheld for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the price target of $1.80 per share under the CEO Stock Plan was achieved and 243,783 shares of common stock vested, and on March 3, 2025, the price target of $2.00 per share under the CEO Stock Plan was achieved and 243,783 shares of common stock vested. The total number of shares vested for achievement of the $1.80 and $2.00 price targets was 487,566. On June 2, 2025, 273,036 shares of common stock were issued in partial satisfaction of this obligation; an additional 214,530 shares are classified as common stock to be issued on the Company’s balance sheet at June 30,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shares unvested under the CEO Stock Plan at June 30, 2025.</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COO Stock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2023, the Company entered into an employment agreement with Brady Smallwood to become the Company’s COO, effective May 15, 2023.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pStyle w:val="TextBody"/>
        <w:bidi w:val="0"/>
        <w:jc w:val="left"/>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483"/>
        <w:gridCol w:w="1171"/>
        <w:gridCol w:w="90"/>
        <w:gridCol w:w="90"/>
        <w:gridCol w:w="402"/>
        <w:gridCol w:w="1837"/>
        <w:gridCol w:w="436"/>
        <w:gridCol w:w="182"/>
        <w:gridCol w:w="182"/>
        <w:gridCol w:w="1472"/>
        <w:gridCol w:w="135"/>
      </w:tblGrid>
      <w:tr>
        <w:trPr/>
        <w:tc>
          <w:tcPr>
            <w:tcW w:w="1654" w:type="dxa"/>
            <w:gridSpan w:val="2"/>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511" w:type="dxa"/>
            <w:gridSpan w:val="6"/>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Number of Shares Granted - Lower of:</w:t>
            </w:r>
          </w:p>
        </w:tc>
        <w:tc>
          <w:tcPr>
            <w:tcW w:w="135" w:type="dxa"/>
            <w:tcBorders/>
            <w:vAlign w:val="center"/>
          </w:tcPr>
          <w:p>
            <w:pPr>
              <w:pStyle w:val="TableContents"/>
              <w:bidi w:val="0"/>
              <w:spacing w:before="0" w:after="283"/>
              <w:ind w:left="0" w:right="0" w:hanging="0"/>
              <w:jc w:val="left"/>
              <w:rPr/>
            </w:pPr>
            <w:r>
              <w:rPr/>
              <w:t> </w:t>
            </w:r>
          </w:p>
        </w:tc>
      </w:tr>
      <w:tr>
        <w:trPr/>
        <w:tc>
          <w:tcPr>
            <w:tcW w:w="1654" w:type="dxa"/>
            <w:gridSpan w:val="2"/>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2239"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Number of Shares Issued</w:t>
            </w:r>
          </w:p>
        </w:tc>
        <w:tc>
          <w:tcPr>
            <w:tcW w:w="436"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654"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Maximum</w:t>
            </w:r>
          </w:p>
        </w:tc>
        <w:tc>
          <w:tcPr>
            <w:tcW w:w="135" w:type="dxa"/>
            <w:tcBorders/>
            <w:vAlign w:val="center"/>
          </w:tcPr>
          <w:p>
            <w:pPr>
              <w:pStyle w:val="TableContents"/>
              <w:bidi w:val="0"/>
              <w:spacing w:before="0" w:after="283"/>
              <w:ind w:left="0" w:right="0" w:hanging="0"/>
              <w:jc w:val="left"/>
              <w:rPr/>
            </w:pPr>
            <w:r>
              <w:rPr/>
              <w:t> </w:t>
            </w:r>
          </w:p>
        </w:tc>
      </w:tr>
      <w:tr>
        <w:trPr/>
        <w:tc>
          <w:tcPr>
            <w:tcW w:w="1654" w:type="dxa"/>
            <w:gridSpan w:val="2"/>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2239"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and Outstanding on</w:t>
            </w:r>
          </w:p>
        </w:tc>
        <w:tc>
          <w:tcPr>
            <w:tcW w:w="436"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654"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Number of</w:t>
            </w:r>
          </w:p>
        </w:tc>
        <w:tc>
          <w:tcPr>
            <w:tcW w:w="135" w:type="dxa"/>
            <w:tcBorders/>
            <w:vAlign w:val="center"/>
          </w:tcPr>
          <w:p>
            <w:pPr>
              <w:pStyle w:val="TableContents"/>
              <w:bidi w:val="0"/>
              <w:spacing w:before="0" w:after="283"/>
              <w:ind w:left="0" w:right="0" w:hanging="0"/>
              <w:jc w:val="left"/>
              <w:rPr/>
            </w:pPr>
            <w:r>
              <w:rPr/>
              <w:t> </w:t>
            </w:r>
          </w:p>
        </w:tc>
      </w:tr>
      <w:tr>
        <w:trPr/>
        <w:tc>
          <w:tcPr>
            <w:tcW w:w="1654"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Stock Price Target</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2239"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Grant Date Multiplied by:</w:t>
            </w:r>
          </w:p>
        </w:tc>
        <w:tc>
          <w:tcPr>
            <w:tcW w:w="436"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35" w:type="dxa"/>
            <w:tcBorders/>
            <w:vAlign w:val="center"/>
          </w:tcPr>
          <w:p>
            <w:pPr>
              <w:pStyle w:val="TableContents"/>
              <w:bidi w:val="0"/>
              <w:spacing w:before="0" w:after="283"/>
              <w:ind w:left="0" w:right="0" w:hanging="0"/>
              <w:jc w:val="left"/>
              <w:rPr/>
            </w:pPr>
            <w:r>
              <w:rPr/>
              <w:t> </w:t>
            </w:r>
          </w:p>
        </w:tc>
      </w:tr>
      <w:tr>
        <w:trPr/>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0.87</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0.40</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196,627</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02" w:type="dxa"/>
            <w:tcBorders/>
            <w:vAlign w:val="center"/>
          </w:tcPr>
          <w:p>
            <w:pPr>
              <w:pStyle w:val="TableContents"/>
              <w:bidi w:val="0"/>
              <w:spacing w:before="0" w:after="283"/>
              <w:ind w:left="0" w:right="0" w:hanging="0"/>
              <w:jc w:val="left"/>
              <w:rPr/>
            </w:pPr>
            <w:r>
              <w:rPr/>
              <w:t> </w:t>
            </w:r>
          </w:p>
        </w:tc>
        <w:tc>
          <w:tcPr>
            <w:tcW w:w="1837"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p>
        </w:tc>
        <w:tc>
          <w:tcPr>
            <w:tcW w:w="43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147,470</w:t>
            </w:r>
          </w:p>
        </w:tc>
        <w:tc>
          <w:tcPr>
            <w:tcW w:w="135" w:type="dxa"/>
            <w:tcBorders/>
            <w:vAlign w:val="center"/>
          </w:tcPr>
          <w:p>
            <w:pPr>
              <w:pStyle w:val="TableContents"/>
              <w:bidi w:val="0"/>
              <w:spacing w:before="0" w:after="283"/>
              <w:ind w:left="0" w:right="0" w:hanging="0"/>
              <w:jc w:val="left"/>
              <w:rPr/>
            </w:pPr>
            <w:r>
              <w:rPr/>
              <w:t> </w:t>
            </w:r>
          </w:p>
        </w:tc>
      </w:tr>
      <w:tr>
        <w:trPr/>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98,313</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02" w:type="dxa"/>
            <w:tcBorders/>
            <w:vAlign w:val="center"/>
          </w:tcPr>
          <w:p>
            <w:pPr>
              <w:pStyle w:val="TableContents"/>
              <w:bidi w:val="0"/>
              <w:spacing w:before="0" w:after="283"/>
              <w:ind w:left="0" w:right="0" w:hanging="0"/>
              <w:jc w:val="left"/>
              <w:rPr/>
            </w:pPr>
            <w:r>
              <w:rPr/>
              <w:t> </w:t>
            </w:r>
          </w:p>
        </w:tc>
        <w:tc>
          <w:tcPr>
            <w:tcW w:w="1837"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43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73,735</w:t>
            </w:r>
          </w:p>
        </w:tc>
        <w:tc>
          <w:tcPr>
            <w:tcW w:w="135" w:type="dxa"/>
            <w:tcBorders/>
            <w:vAlign w:val="center"/>
          </w:tcPr>
          <w:p>
            <w:pPr>
              <w:pStyle w:val="TableContents"/>
              <w:bidi w:val="0"/>
              <w:spacing w:before="0" w:after="283"/>
              <w:ind w:left="0" w:right="0" w:hanging="0"/>
              <w:jc w:val="left"/>
              <w:rPr/>
            </w:pPr>
            <w:r>
              <w:rPr/>
              <w:t> </w:t>
            </w:r>
          </w:p>
        </w:tc>
      </w:tr>
      <w:tr>
        <w:trPr/>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73,735</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02" w:type="dxa"/>
            <w:tcBorders/>
            <w:vAlign w:val="center"/>
          </w:tcPr>
          <w:p>
            <w:pPr>
              <w:pStyle w:val="TableContents"/>
              <w:bidi w:val="0"/>
              <w:spacing w:before="0" w:after="283"/>
              <w:ind w:left="0" w:right="0" w:hanging="0"/>
              <w:jc w:val="left"/>
              <w:rPr/>
            </w:pPr>
            <w:r>
              <w:rPr/>
              <w:t> </w:t>
            </w:r>
          </w:p>
        </w:tc>
        <w:tc>
          <w:tcPr>
            <w:tcW w:w="1837"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43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49,157</w:t>
            </w:r>
          </w:p>
        </w:tc>
        <w:tc>
          <w:tcPr>
            <w:tcW w:w="135" w:type="dxa"/>
            <w:tcBorders/>
            <w:vAlign w:val="center"/>
          </w:tcPr>
          <w:p>
            <w:pPr>
              <w:pStyle w:val="TableContents"/>
              <w:bidi w:val="0"/>
              <w:spacing w:before="0" w:after="283"/>
              <w:ind w:left="0" w:right="0" w:hanging="0"/>
              <w:jc w:val="left"/>
              <w:rPr/>
            </w:pPr>
            <w:r>
              <w:rPr/>
              <w:t> </w:t>
            </w:r>
          </w:p>
        </w:tc>
      </w:tr>
      <w:tr>
        <w:trPr/>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49,157</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02" w:type="dxa"/>
            <w:tcBorders/>
            <w:vAlign w:val="center"/>
          </w:tcPr>
          <w:p>
            <w:pPr>
              <w:pStyle w:val="TableContents"/>
              <w:bidi w:val="0"/>
              <w:spacing w:before="0" w:after="283"/>
              <w:ind w:left="0" w:right="0" w:hanging="0"/>
              <w:jc w:val="left"/>
              <w:rPr/>
            </w:pPr>
            <w:r>
              <w:rPr/>
              <w:t> </w:t>
            </w:r>
          </w:p>
        </w:tc>
        <w:tc>
          <w:tcPr>
            <w:tcW w:w="1837"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43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49,157</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COO Stock Plan was determined via a Monte Carlo market-based performance stock awards model to be $199,951. This amount will be recorded as a charge to compensation expense and additional paid-in capital on a straight-line basis over 31.5 months. During the three and six months ended June 30, 2025, the amount of $19,043 and $38,086, respectively, was charged to operations pursuant to the COO Stock Plan. During the three and six months ended June 30, 2024, the amounts of $19,043 and $38,086, respectively, were charged to operations pursuant to the COO Stock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2024, 196,627 shares of common stock vested pursuant to the achievement of the $0.87 price target. These shares were issued on July 9, 2024.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25, 2024, the price target of $1.16 per share under the COO Stock Plan was achieved and 147,470 shares of common stock vested pursuant to this plan; on November 13, 2024, the price target of $1.45 per share under the COO Stock Plan was achieved, and 98,313 shares of common stock vested. On March 14, 2025, 133,632 shares of common stock were issued in satisfaction of these obligations, net of 112,151 shares withheld for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14, 2025, the price target of $1.74 per share under the COO Stock Plan was achieved and 73,735 shares of common stock vested; and on March 7, 2025, the price target of $2.03 per share under the COO Stock Plan was achieved, and 73,735 shares of common stock vested. The total number of shares vested for achievement of the $1.74 and $2.03 price targets was 147,470.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a total of 147,470 shares of common stock remain unvested under the COO Stock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CFO Stock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2023, the Company entered into an employment agreement with Gary Schubert to become the Company’s CFO effective January 1, 2024. Pursuant to this agreement, Mr. Schubert was provided with an incentive compensation plan (the “CFO Stock Plan”) whereby Mr. Schubert would be granted shares of the Company’s common stock upon the common stock meeting certain price points at various 60-day volume weighted prices, as described below:</w:t>
      </w:r>
    </w:p>
    <w:p>
      <w:pPr>
        <w:pStyle w:val="TextBody"/>
        <w:bidi w:val="0"/>
        <w:jc w:val="left"/>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483"/>
        <w:gridCol w:w="1171"/>
        <w:gridCol w:w="90"/>
        <w:gridCol w:w="90"/>
        <w:gridCol w:w="402"/>
        <w:gridCol w:w="1837"/>
        <w:gridCol w:w="436"/>
        <w:gridCol w:w="182"/>
        <w:gridCol w:w="182"/>
        <w:gridCol w:w="1472"/>
        <w:gridCol w:w="135"/>
      </w:tblGrid>
      <w:tr>
        <w:trPr/>
        <w:tc>
          <w:tcPr>
            <w:tcW w:w="1654" w:type="dxa"/>
            <w:gridSpan w:val="2"/>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511" w:type="dxa"/>
            <w:gridSpan w:val="6"/>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Number of Shares Granted - Lower of:</w:t>
            </w:r>
          </w:p>
        </w:tc>
        <w:tc>
          <w:tcPr>
            <w:tcW w:w="135" w:type="dxa"/>
            <w:tcBorders/>
            <w:vAlign w:val="center"/>
          </w:tcPr>
          <w:p>
            <w:pPr>
              <w:pStyle w:val="TableContents"/>
              <w:bidi w:val="0"/>
              <w:spacing w:before="0" w:after="283"/>
              <w:ind w:left="0" w:right="0" w:hanging="0"/>
              <w:jc w:val="left"/>
              <w:rPr/>
            </w:pPr>
            <w:r>
              <w:rPr/>
              <w:t> </w:t>
            </w:r>
          </w:p>
        </w:tc>
      </w:tr>
      <w:tr>
        <w:trPr/>
        <w:tc>
          <w:tcPr>
            <w:tcW w:w="1654" w:type="dxa"/>
            <w:gridSpan w:val="2"/>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2239"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Number of Shares Issued</w:t>
            </w:r>
          </w:p>
        </w:tc>
        <w:tc>
          <w:tcPr>
            <w:tcW w:w="436"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654"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Maximum</w:t>
            </w:r>
          </w:p>
        </w:tc>
        <w:tc>
          <w:tcPr>
            <w:tcW w:w="135" w:type="dxa"/>
            <w:tcBorders/>
            <w:vAlign w:val="center"/>
          </w:tcPr>
          <w:p>
            <w:pPr>
              <w:pStyle w:val="TableContents"/>
              <w:bidi w:val="0"/>
              <w:spacing w:before="0" w:after="283"/>
              <w:ind w:left="0" w:right="0" w:hanging="0"/>
              <w:jc w:val="left"/>
              <w:rPr/>
            </w:pPr>
            <w:r>
              <w:rPr/>
              <w:t> </w:t>
            </w:r>
          </w:p>
        </w:tc>
      </w:tr>
      <w:tr>
        <w:trPr/>
        <w:tc>
          <w:tcPr>
            <w:tcW w:w="1654" w:type="dxa"/>
            <w:gridSpan w:val="2"/>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2239"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and Outstanding on</w:t>
            </w:r>
          </w:p>
        </w:tc>
        <w:tc>
          <w:tcPr>
            <w:tcW w:w="436"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654"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Number of</w:t>
            </w:r>
          </w:p>
        </w:tc>
        <w:tc>
          <w:tcPr>
            <w:tcW w:w="135" w:type="dxa"/>
            <w:tcBorders/>
            <w:vAlign w:val="center"/>
          </w:tcPr>
          <w:p>
            <w:pPr>
              <w:pStyle w:val="TableContents"/>
              <w:bidi w:val="0"/>
              <w:spacing w:before="0" w:after="283"/>
              <w:ind w:left="0" w:right="0" w:hanging="0"/>
              <w:jc w:val="left"/>
              <w:rPr/>
            </w:pPr>
            <w:r>
              <w:rPr/>
              <w:t> </w:t>
            </w:r>
          </w:p>
        </w:tc>
      </w:tr>
      <w:tr>
        <w:trPr/>
        <w:tc>
          <w:tcPr>
            <w:tcW w:w="1654"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Stock Price Target</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2239"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Grant Date Multiplied by:</w:t>
            </w:r>
          </w:p>
        </w:tc>
        <w:tc>
          <w:tcPr>
            <w:tcW w:w="436"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135" w:type="dxa"/>
            <w:tcBorders/>
            <w:vAlign w:val="center"/>
          </w:tcPr>
          <w:p>
            <w:pPr>
              <w:pStyle w:val="TableContents"/>
              <w:bidi w:val="0"/>
              <w:spacing w:before="0" w:after="283"/>
              <w:ind w:left="0" w:right="0" w:hanging="0"/>
              <w:jc w:val="left"/>
              <w:rPr/>
            </w:pPr>
            <w:r>
              <w:rPr/>
              <w:t> </w:t>
            </w:r>
          </w:p>
        </w:tc>
      </w:tr>
      <w:tr>
        <w:trPr/>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0.40</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131,085</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02" w:type="dxa"/>
            <w:tcBorders/>
            <w:vAlign w:val="center"/>
          </w:tcPr>
          <w:p>
            <w:pPr>
              <w:pStyle w:val="TableContents"/>
              <w:bidi w:val="0"/>
              <w:spacing w:before="0" w:after="283"/>
              <w:ind w:left="0" w:right="0" w:hanging="0"/>
              <w:jc w:val="left"/>
              <w:rPr/>
            </w:pPr>
            <w:r>
              <w:rPr/>
              <w:t> </w:t>
            </w:r>
          </w:p>
        </w:tc>
        <w:tc>
          <w:tcPr>
            <w:tcW w:w="1837"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p>
        </w:tc>
        <w:tc>
          <w:tcPr>
            <w:tcW w:w="43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98,313</w:t>
            </w:r>
          </w:p>
        </w:tc>
        <w:tc>
          <w:tcPr>
            <w:tcW w:w="135" w:type="dxa"/>
            <w:tcBorders/>
            <w:vAlign w:val="center"/>
          </w:tcPr>
          <w:p>
            <w:pPr>
              <w:pStyle w:val="TableContents"/>
              <w:bidi w:val="0"/>
              <w:spacing w:before="0" w:after="283"/>
              <w:ind w:left="0" w:right="0" w:hanging="0"/>
              <w:jc w:val="left"/>
              <w:rPr/>
            </w:pPr>
            <w:r>
              <w:rPr/>
              <w:t> </w:t>
            </w:r>
          </w:p>
        </w:tc>
      </w:tr>
      <w:tr>
        <w:trPr/>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65,542</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02" w:type="dxa"/>
            <w:tcBorders/>
            <w:vAlign w:val="center"/>
          </w:tcPr>
          <w:p>
            <w:pPr>
              <w:pStyle w:val="TableContents"/>
              <w:bidi w:val="0"/>
              <w:spacing w:before="0" w:after="283"/>
              <w:ind w:left="0" w:right="0" w:hanging="0"/>
              <w:jc w:val="left"/>
              <w:rPr/>
            </w:pPr>
            <w:r>
              <w:rPr/>
              <w:t> </w:t>
            </w:r>
          </w:p>
        </w:tc>
        <w:tc>
          <w:tcPr>
            <w:tcW w:w="1837"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43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49,157</w:t>
            </w:r>
          </w:p>
        </w:tc>
        <w:tc>
          <w:tcPr>
            <w:tcW w:w="135" w:type="dxa"/>
            <w:tcBorders/>
            <w:vAlign w:val="center"/>
          </w:tcPr>
          <w:p>
            <w:pPr>
              <w:pStyle w:val="TableContents"/>
              <w:bidi w:val="0"/>
              <w:spacing w:before="0" w:after="283"/>
              <w:ind w:left="0" w:right="0" w:hanging="0"/>
              <w:jc w:val="left"/>
              <w:rPr/>
            </w:pPr>
            <w:r>
              <w:rPr/>
              <w:t> </w:t>
            </w:r>
          </w:p>
        </w:tc>
      </w:tr>
      <w:tr>
        <w:trPr/>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49,157</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02" w:type="dxa"/>
            <w:tcBorders/>
            <w:vAlign w:val="center"/>
          </w:tcPr>
          <w:p>
            <w:pPr>
              <w:pStyle w:val="TableContents"/>
              <w:bidi w:val="0"/>
              <w:spacing w:before="0" w:after="283"/>
              <w:ind w:left="0" w:right="0" w:hanging="0"/>
              <w:jc w:val="left"/>
              <w:rPr/>
            </w:pPr>
            <w:r>
              <w:rPr/>
              <w:t> </w:t>
            </w:r>
          </w:p>
        </w:tc>
        <w:tc>
          <w:tcPr>
            <w:tcW w:w="1837"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43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32,771</w:t>
            </w:r>
          </w:p>
        </w:tc>
        <w:tc>
          <w:tcPr>
            <w:tcW w:w="135" w:type="dxa"/>
            <w:tcBorders/>
            <w:vAlign w:val="center"/>
          </w:tcPr>
          <w:p>
            <w:pPr>
              <w:pStyle w:val="TableContents"/>
              <w:bidi w:val="0"/>
              <w:spacing w:before="0" w:after="283"/>
              <w:ind w:left="0" w:right="0" w:hanging="0"/>
              <w:jc w:val="left"/>
              <w:rPr/>
            </w:pPr>
            <w:r>
              <w:rPr/>
              <w:t> </w:t>
            </w:r>
          </w:p>
        </w:tc>
      </w:tr>
      <w:tr>
        <w:trPr/>
        <w:tc>
          <w:tcPr>
            <w:tcW w:w="4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90" w:type="dxa"/>
            <w:tcBorders/>
            <w:shd w:fill="CCEEFF" w:val="clear"/>
            <w:vAlign w:val="center"/>
          </w:tcPr>
          <w:p>
            <w:pPr>
              <w:pStyle w:val="TableContents"/>
              <w:bidi w:val="0"/>
              <w:spacing w:before="0" w:after="283"/>
              <w:ind w:left="0" w:right="0" w:hanging="0"/>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4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32,771</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8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9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402" w:type="dxa"/>
            <w:tcBorders/>
            <w:vAlign w:val="center"/>
          </w:tcPr>
          <w:p>
            <w:pPr>
              <w:pStyle w:val="TableContents"/>
              <w:bidi w:val="0"/>
              <w:spacing w:before="0" w:after="283"/>
              <w:ind w:left="0" w:right="0" w:hanging="0"/>
              <w:jc w:val="left"/>
              <w:rPr/>
            </w:pPr>
            <w:r>
              <w:rPr/>
              <w:t> </w:t>
            </w:r>
          </w:p>
        </w:tc>
        <w:tc>
          <w:tcPr>
            <w:tcW w:w="1837"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436"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 w:type="dxa"/>
            <w:tcBorders/>
            <w:vAlign w:val="center"/>
          </w:tcPr>
          <w:p>
            <w:pPr>
              <w:pStyle w:val="TableContents"/>
              <w:bidi w:val="0"/>
              <w:spacing w:before="0" w:after="283"/>
              <w:ind w:left="0" w:right="0" w:hanging="0"/>
              <w:jc w:val="left"/>
              <w:rPr/>
            </w:pPr>
            <w:r>
              <w:rPr/>
              <w:t> </w:t>
            </w:r>
          </w:p>
        </w:tc>
        <w:tc>
          <w:tcPr>
            <w:tcW w:w="182" w:type="dxa"/>
            <w:tcBorders/>
            <w:vAlign w:val="center"/>
          </w:tcPr>
          <w:p>
            <w:pPr>
              <w:pStyle w:val="TableContents"/>
              <w:bidi w:val="0"/>
              <w:spacing w:before="0" w:after="283"/>
              <w:ind w:left="0" w:right="0" w:hanging="0"/>
              <w:jc w:val="left"/>
              <w:rPr/>
            </w:pPr>
            <w:r>
              <w:rPr/>
              <w:t> </w:t>
            </w:r>
          </w:p>
        </w:tc>
        <w:tc>
          <w:tcPr>
            <w:tcW w:w="147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32,771</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CFO Stock Plan was determined via a Monte Carlo market-based performance stock awards model to be $238,747 at inception (see “Stock Plan Valuation” section below). This amount will be recorded as a charge to compensation expense and additional paid-in capital on a straight-line basis over the 30-month life of the plan beginning January 1, 2024. During the three and six months ended June 30, 2025, the amount of $23,875 and $47,750, respectively, was charged to operations pursuant to the CFO Stock Plan. During the three and six months ended June 30, 2024, the amounts of $23,875 and $47,750, respectively, were charged to operations pursuant to the CFO Stock Plan.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2024, the price target of $1.23 per share under the CFO Stock Plan was achieved and 131,085 shares of common stock vested pursuant to this plan. On February 6, 2025, 73,735 shares of common stock were issued in satisfaction of this obligation, net of 57,350 shares withheld for taxes.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2024, the price target of $1.63 per share under the CFO Stock Plan was achieved and 98,313 shares of common stock vested; and on March 10, 2025, the price target of $2.04 per share under the CFO Stock Plan was achieved and 65,542 shares of common stock vested. The total number of shares vested for achievement of the $1.63 and $2.04 price targets was 163,855; on June 3, 2025, 92,168 of these shares were issued; the remaining 71,687 shares are classified as common stock to be issued on the Company’s balance sheet at June 30, 2025.</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a total of 196,627 shares of common stock remain unvested under the CFO Stock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Stock Appreciation Rights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15, 2023, the Company issued 1,500,000 stock appreciation rights (the “Smallwood SARs”) to Brady Smallwood, its COO. The Smallwood SARs vest upon issuance, and expire on December 31, 2026; 750,000 of the Smallwood SARs are priced at $1.50 per share, and 750,000 are priced at $2.00 per share. It is the Company’s intention to settle the Smallwood SARs in cash if the stock price exceeds the $1.50 and $2.00 per share price prior to the expiration date. The Smallwood SARs were valued utilizing the Black-Scholes valuation model, and had an aggregate fair value of $9,794 upon issuance; this amount was charged to operations and credited to stock appreciation rights liability. The Smallwood SARs are revalued each quarter, and any gain or loss in the fair value is charged to non-cash compensation expense. At June 30, 2025, the Smallwood SARs had a fair value of $1,125,887; the increase in fair value in the amount of $60,595 and decrease in the amount of $227,263 during the three and six months ended June 30, 2025, respectively, was charged to non-cash compensation. During the three and six months ended June 30, 2024, the increase in fair value in the amount $412,850 and $531,478, respectively, was charged to non-cash compensation. See Note 14.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Smallwood SARs were valued using the Black-Scholes valuation model utilizing the following variables:</w:t>
      </w:r>
    </w:p>
    <w:p>
      <w:pPr>
        <w:pStyle w:val="TextBody"/>
        <w:bidi w:val="0"/>
        <w:jc w:val="left"/>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2735"/>
        <w:gridCol w:w="90"/>
        <w:gridCol w:w="155"/>
        <w:gridCol w:w="1340"/>
        <w:gridCol w:w="260"/>
        <w:gridCol w:w="90"/>
        <w:gridCol w:w="155"/>
        <w:gridCol w:w="1235"/>
        <w:gridCol w:w="260"/>
      </w:tblGrid>
      <w:tr>
        <w:trPr/>
        <w:tc>
          <w:tcPr>
            <w:tcW w:w="2735" w:type="dxa"/>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center"/>
              <w:rPr/>
            </w:pPr>
            <w:r>
              <w:rPr/>
              <w:t> </w:t>
            </w:r>
          </w:p>
        </w:tc>
        <w:tc>
          <w:tcPr>
            <w:tcW w:w="1495"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260" w:type="dxa"/>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center"/>
              <w:rPr/>
            </w:pPr>
            <w:r>
              <w:rPr/>
              <w:t> </w:t>
            </w:r>
          </w:p>
        </w:tc>
        <w:tc>
          <w:tcPr>
            <w:tcW w:w="1390" w:type="dxa"/>
            <w:gridSpan w:val="2"/>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December 31,</w:t>
            </w:r>
          </w:p>
        </w:tc>
        <w:tc>
          <w:tcPr>
            <w:tcW w:w="260" w:type="dxa"/>
            <w:tcBorders/>
            <w:vAlign w:val="center"/>
          </w:tcPr>
          <w:p>
            <w:pPr>
              <w:pStyle w:val="TableContents"/>
              <w:bidi w:val="0"/>
              <w:spacing w:before="0" w:after="283"/>
              <w:ind w:left="0" w:right="0" w:hanging="0"/>
              <w:jc w:val="center"/>
              <w:rPr/>
            </w:pPr>
            <w:r>
              <w:rPr/>
              <w:t> </w:t>
            </w:r>
          </w:p>
        </w:tc>
      </w:tr>
      <w:tr>
        <w:trPr/>
        <w:tc>
          <w:tcPr>
            <w:tcW w:w="2735" w:type="dxa"/>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center"/>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60" w:type="dxa"/>
            <w:tcBorders/>
            <w:vAlign w:val="center"/>
          </w:tcPr>
          <w:p>
            <w:pPr>
              <w:pStyle w:val="TableContents"/>
              <w:bidi w:val="0"/>
              <w:spacing w:before="0" w:after="283"/>
              <w:ind w:left="0" w:right="0" w:hanging="0"/>
              <w:jc w:val="center"/>
              <w:rPr/>
            </w:pPr>
            <w:r>
              <w:rPr/>
              <w:t> </w:t>
            </w:r>
          </w:p>
        </w:tc>
        <w:tc>
          <w:tcPr>
            <w:tcW w:w="90" w:type="dxa"/>
            <w:tcBorders/>
            <w:vAlign w:val="center"/>
          </w:tcPr>
          <w:p>
            <w:pPr>
              <w:pStyle w:val="TableContents"/>
              <w:bidi w:val="0"/>
              <w:spacing w:before="0" w:after="283"/>
              <w:ind w:left="0" w:right="0" w:hanging="0"/>
              <w:jc w:val="center"/>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260" w:type="dxa"/>
            <w:tcBorders/>
            <w:vAlign w:val="center"/>
          </w:tcPr>
          <w:p>
            <w:pPr>
              <w:pStyle w:val="TableContents"/>
              <w:bidi w:val="0"/>
              <w:spacing w:before="0" w:after="283"/>
              <w:ind w:left="0" w:right="0" w:hanging="0"/>
              <w:jc w:val="center"/>
              <w:rPr/>
            </w:pPr>
            <w:r>
              <w:rPr/>
              <w:t>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9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135.88 - 205.63</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86.58 - 131.55</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Dividends</w:t>
            </w:r>
          </w:p>
        </w:tc>
        <w:tc>
          <w:tcPr>
            <w:tcW w:w="90" w:type="dxa"/>
            <w:tcBorders/>
            <w:vAlign w:val="center"/>
          </w:tcPr>
          <w:p>
            <w:pPr>
              <w:pStyle w:val="TableContents"/>
              <w:bidi w:val="0"/>
              <w:spacing w:before="0" w:after="283"/>
              <w:ind w:left="0" w:right="0" w:hanging="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0"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6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5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60" w:type="dxa"/>
            <w:tcBorders/>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Risk-free interest rates</w:t>
            </w:r>
          </w:p>
        </w:tc>
        <w:tc>
          <w:tcPr>
            <w:tcW w:w="9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3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3.89 - 3.96</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3.66 - 4.71</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Remaining expected term (years)</w:t>
            </w:r>
          </w:p>
        </w:tc>
        <w:tc>
          <w:tcPr>
            <w:tcW w:w="90" w:type="dxa"/>
            <w:tcBorders/>
            <w:vAlign w:val="center"/>
          </w:tcPr>
          <w:p>
            <w:pPr>
              <w:pStyle w:val="TableContents"/>
              <w:bidi w:val="0"/>
              <w:spacing w:before="0" w:after="283"/>
              <w:ind w:left="0" w:right="0" w:hanging="0"/>
              <w:jc w:val="left"/>
              <w:rPr/>
            </w:pPr>
            <w:r>
              <w:rPr/>
              <w:t> </w:t>
            </w:r>
          </w:p>
        </w:tc>
        <w:tc>
          <w:tcPr>
            <w:tcW w:w="155" w:type="dxa"/>
            <w:tcBorders/>
            <w:vAlign w:val="center"/>
          </w:tcPr>
          <w:p>
            <w:pPr>
              <w:pStyle w:val="TableContents"/>
              <w:bidi w:val="0"/>
              <w:spacing w:before="0" w:after="283"/>
              <w:ind w:left="0" w:right="0" w:hanging="0"/>
              <w:jc w:val="left"/>
              <w:rPr/>
            </w:pPr>
            <w:r>
              <w:rPr/>
              <w:t> </w:t>
            </w:r>
          </w:p>
        </w:tc>
        <w:tc>
          <w:tcPr>
            <w:tcW w:w="1340"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1.50 - 1.75</w:t>
            </w:r>
          </w:p>
        </w:tc>
        <w:tc>
          <w:tcPr>
            <w:tcW w:w="260" w:type="dxa"/>
            <w:tcBorders/>
            <w:vAlign w:val="center"/>
          </w:tcPr>
          <w:p>
            <w:pPr>
              <w:pStyle w:val="TableContents"/>
              <w:bidi w:val="0"/>
              <w:spacing w:before="0" w:after="283"/>
              <w:ind w:left="0" w:right="0" w:hanging="0"/>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55" w:type="dxa"/>
            <w:tcBorders/>
            <w:vAlign w:val="center"/>
          </w:tcPr>
          <w:p>
            <w:pPr>
              <w:pStyle w:val="TableContents"/>
              <w:bidi w:val="0"/>
              <w:spacing w:before="0" w:after="283"/>
              <w:ind w:left="0" w:right="0" w:hanging="0"/>
              <w:jc w:val="left"/>
              <w:rPr/>
            </w:pPr>
            <w:r>
              <w:rPr/>
              <w:t> </w:t>
            </w:r>
          </w:p>
        </w:tc>
        <w:tc>
          <w:tcPr>
            <w:tcW w:w="123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2.00 - 2.75</w:t>
            </w:r>
          </w:p>
        </w:tc>
        <w:tc>
          <w:tcPr>
            <w:tcW w:w="26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stock options are summarized as follows: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9, 2025, the Company issued 60,000 shares of common stock pursuant to the cashless exercise of options held by an ex-employee to purchase 130,000 shares of common stock at a price of $1.25 per share and an additional 130,000 shares of common stock at a price of $1.75 per share. There was no gain or loss recorded on this transaction.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2025, the Company issued 24,026 shares of common stock pursuant to the cashless exercise of options held by an ex-employee to purchase 50,000 shares of common stock at a price of $1.00 per share. There was no gain or loss recorded on this transaction.</w:t>
      </w:r>
    </w:p>
    <w:p>
      <w:pPr>
        <w:pStyle w:val="TextBody"/>
        <w:bidi w:val="0"/>
        <w:jc w:val="both"/>
        <w:rPr>
          <w:caps w:val="false"/>
          <w:smallCaps w:val="false"/>
        </w:rPr>
      </w:pPr>
      <w:r>
        <w:rPr>
          <w:caps w:val="false"/>
          <w:smallCaps w:val="false"/>
        </w:rPr>
        <w:t> </w:t>
      </w:r>
    </w:p>
    <w:tbl>
      <w:tblPr>
        <w:tblW w:w="7354" w:type="dxa"/>
        <w:jc w:val="left"/>
        <w:tblInd w:w="0" w:type="dxa"/>
        <w:tblLayout w:type="fixed"/>
        <w:tblCellMar>
          <w:top w:w="0" w:type="dxa"/>
          <w:left w:w="0" w:type="dxa"/>
          <w:bottom w:w="0" w:type="dxa"/>
          <w:right w:w="0" w:type="dxa"/>
        </w:tblCellMar>
      </w:tblPr>
      <w:tblGrid>
        <w:gridCol w:w="4730"/>
        <w:gridCol w:w="90"/>
        <w:gridCol w:w="104"/>
        <w:gridCol w:w="1055"/>
        <w:gridCol w:w="125"/>
        <w:gridCol w:w="90"/>
        <w:gridCol w:w="272"/>
        <w:gridCol w:w="753"/>
        <w:gridCol w:w="135"/>
      </w:tblGrid>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Exercise</w:t>
              <w:br/>
              <w:t>Price</w:t>
            </w:r>
          </w:p>
        </w:tc>
        <w:tc>
          <w:tcPr>
            <w:tcW w:w="135" w:type="dxa"/>
            <w:tcBorders/>
            <w:vAlign w:val="center"/>
          </w:tcPr>
          <w:p>
            <w:pPr>
              <w:pStyle w:val="TableContents"/>
              <w:bidi w:val="0"/>
              <w:spacing w:before="0" w:after="283"/>
              <w:ind w:left="0" w:right="0" w:hanging="0"/>
              <w:jc w:val="left"/>
              <w:rPr/>
            </w:pPr>
            <w:r>
              <w:rPr/>
              <w:t> </w:t>
            </w:r>
          </w:p>
        </w:tc>
      </w:tr>
      <w:tr>
        <w:trPr/>
        <w:tc>
          <w:tcPr>
            <w:tcW w:w="4730" w:type="dxa"/>
            <w:tcBorders/>
            <w:shd w:fill="CCEEFF" w:val="clear"/>
            <w:vAlign w:val="center"/>
          </w:tcPr>
          <w:p>
            <w:pPr>
              <w:pStyle w:val="TableContents"/>
              <w:bidi w:val="0"/>
              <w:spacing w:before="0" w:after="283"/>
              <w:jc w:val="left"/>
              <w:rPr/>
            </w:pPr>
            <w:r>
              <w:rPr/>
              <w:t>Options outstanding at December 31, 2024</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1.42</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730" w:type="dxa"/>
            <w:tcBorders/>
            <w:shd w:fill="CCEEFF" w:val="clear"/>
            <w:vAlign w:val="center"/>
          </w:tcPr>
          <w:p>
            <w:pPr>
              <w:pStyle w:val="TableContents"/>
              <w:bidi w:val="0"/>
              <w:spacing w:before="0" w:after="283"/>
              <w:jc w:val="left"/>
              <w:rPr/>
            </w:pPr>
            <w:r>
              <w:rPr/>
              <w:t>Granted</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75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730" w:type="dxa"/>
            <w:tcBorders/>
            <w:vAlign w:val="center"/>
          </w:tcPr>
          <w:p>
            <w:pPr>
              <w:pStyle w:val="TableContents"/>
              <w:bidi w:val="0"/>
              <w:spacing w:before="0" w:after="283"/>
              <w:jc w:val="left"/>
              <w:rPr/>
            </w:pPr>
            <w:r>
              <w:rPr/>
              <w:t>Exercised</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(310,000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753" w:type="dxa"/>
            <w:tcBorders/>
            <w:vAlign w:val="center"/>
          </w:tcPr>
          <w:p>
            <w:pPr>
              <w:pStyle w:val="TableContents"/>
              <w:bidi w:val="0"/>
              <w:spacing w:before="0" w:after="283"/>
              <w:jc w:val="right"/>
              <w:rPr/>
            </w:pPr>
            <w:r>
              <w:rPr/>
              <w:t>1.42</w:t>
            </w:r>
          </w:p>
        </w:tc>
        <w:tc>
          <w:tcPr>
            <w:tcW w:w="135" w:type="dxa"/>
            <w:tcBorders/>
            <w:vAlign w:val="center"/>
          </w:tcPr>
          <w:p>
            <w:pPr>
              <w:pStyle w:val="TableContents"/>
              <w:bidi w:val="0"/>
              <w:spacing w:before="0" w:after="283"/>
              <w:ind w:left="0" w:right="0" w:hanging="0"/>
              <w:jc w:val="left"/>
              <w:rPr/>
            </w:pPr>
            <w:r>
              <w:rPr/>
              <w:t> </w:t>
            </w:r>
          </w:p>
        </w:tc>
      </w:tr>
      <w:tr>
        <w:trPr/>
        <w:tc>
          <w:tcPr>
            <w:tcW w:w="4730" w:type="dxa"/>
            <w:tcBorders/>
            <w:shd w:fill="CCEEFF" w:val="clear"/>
            <w:vAlign w:val="center"/>
          </w:tcPr>
          <w:p>
            <w:pPr>
              <w:pStyle w:val="TableContents"/>
              <w:bidi w:val="0"/>
              <w:spacing w:before="0" w:after="283"/>
              <w:jc w:val="left"/>
              <w:rPr/>
            </w:pPr>
            <w:r>
              <w:rPr/>
              <w:t>Cancelled / Expired</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0"/>
              <w:jc w:val="left"/>
              <w:rPr/>
            </w:pPr>
            <w:r>
              <w:rPr/>
              <w:t> </w:t>
            </w:r>
          </w:p>
        </w:tc>
      </w:tr>
      <w:tr>
        <w:trPr/>
        <w:tc>
          <w:tcPr>
            <w:tcW w:w="4730" w:type="dxa"/>
            <w:tcBorders/>
            <w:shd w:fill="CCEEFF" w:val="clear"/>
            <w:vAlign w:val="center"/>
          </w:tcPr>
          <w:p>
            <w:pPr>
              <w:pStyle w:val="TableContents"/>
              <w:bidi w:val="0"/>
              <w:spacing w:before="0" w:after="283"/>
              <w:jc w:val="left"/>
              <w:rPr/>
            </w:pPr>
            <w:r>
              <w:rPr/>
              <w:t>Options outstanding at June 30, 2025 (unaudited)</w:t>
            </w:r>
          </w:p>
        </w:tc>
        <w:tc>
          <w:tcPr>
            <w:tcW w:w="9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4730" w:type="dxa"/>
            <w:tcBorders/>
            <w:vAlign w:val="center"/>
          </w:tcPr>
          <w:p>
            <w:pPr>
              <w:pStyle w:val="TableContents"/>
              <w:bidi w:val="0"/>
              <w:spacing w:before="0" w:after="283"/>
              <w:jc w:val="left"/>
              <w:rPr/>
            </w:pPr>
            <w:r>
              <w:rPr/>
              <w:t>Options exercisable at June 30, 2025 (unaudited)</w:t>
            </w:r>
          </w:p>
        </w:tc>
        <w:tc>
          <w:tcPr>
            <w:tcW w:w="90" w:type="dxa"/>
            <w:tcBorders/>
            <w:vAlign w:val="center"/>
          </w:tcPr>
          <w:p>
            <w:pPr>
              <w:pStyle w:val="TableContents"/>
              <w:bidi w:val="0"/>
              <w:spacing w:before="0" w:after="283"/>
              <w:jc w:val="left"/>
              <w:rPr/>
            </w:pPr>
            <w:r>
              <w:rPr/>
              <w:t> </w:t>
            </w:r>
          </w:p>
        </w:tc>
        <w:tc>
          <w:tcPr>
            <w:tcW w:w="104" w:type="dxa"/>
            <w:tcBorders>
              <w:bottom w:val="double" w:sz="6" w:space="0" w:color="000000"/>
            </w:tcBorders>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double" w:sz="6" w:space="0" w:color="000000"/>
            </w:tcBorders>
            <w:tcMar>
              <w:bottom w:w="28" w:type="dxa"/>
            </w:tcMar>
            <w:vAlign w:val="center"/>
          </w:tcPr>
          <w:p>
            <w:pPr>
              <w:pStyle w:val="TableContents"/>
              <w:bidi w:val="0"/>
              <w:spacing w:before="0" w:after="283"/>
              <w:jc w:val="left"/>
              <w:rPr/>
            </w:pPr>
            <w:r>
              <w:rPr/>
              <w:t>$</w:t>
            </w:r>
          </w:p>
        </w:tc>
        <w:tc>
          <w:tcPr>
            <w:tcW w:w="753" w:type="dxa"/>
            <w:tcBorders>
              <w:bottom w:val="double" w:sz="6"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and 2024, the Company charged the amount of $0 and $2,034, respectively, to operations for the vesting of stock options. During the six months ended June 30, 2025 and 2024, the Company charged the amount of $0 and $4,068, respectively, to operations for the vesting of stock options.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has determined that the Company operates in one reportable segment: the delivery of specialty foods. This determination was made based upon the characteristics of our business and the information used by the CODM in order monitor the business and allocate resources. The single segment utilizes multiple sales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analysis of the Company’s segments is determined by the Chief Operating Decision Maker (“CODM”). The Company’s CODM is a group consisting of our executive management team: Bill Bennett, CEO; Brady Smallwood, COO; and Gary Schubert, CFO.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net income to monitor budget versus actual results. The CODM also uses revenue by category to monitor the growth of the business in each of our target markets.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segment results by sales channel: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09"/>
        <w:gridCol w:w="90"/>
        <w:gridCol w:w="170"/>
        <w:gridCol w:w="1130"/>
        <w:gridCol w:w="185"/>
        <w:gridCol w:w="90"/>
        <w:gridCol w:w="90"/>
        <w:gridCol w:w="590"/>
        <w:gridCol w:w="245"/>
        <w:gridCol w:w="90"/>
        <w:gridCol w:w="170"/>
        <w:gridCol w:w="1130"/>
        <w:gridCol w:w="125"/>
        <w:gridCol w:w="90"/>
        <w:gridCol w:w="90"/>
        <w:gridCol w:w="590"/>
        <w:gridCol w:w="245"/>
        <w:gridCol w:w="90"/>
        <w:gridCol w:w="170"/>
        <w:gridCol w:w="1085"/>
        <w:gridCol w:w="125"/>
        <w:gridCol w:w="90"/>
        <w:gridCol w:w="136"/>
        <w:gridCol w:w="1009"/>
        <w:gridCol w:w="171"/>
      </w:tblGrid>
      <w:tr>
        <w:trPr/>
        <w:tc>
          <w:tcPr>
            <w:tcW w:w="2209" w:type="dxa"/>
            <w:tcBorders>
              <w:bottom w:val="single" w:sz="8" w:space="0" w:color="000000"/>
            </w:tcBorders>
            <w:vAlign w:val="center"/>
          </w:tcPr>
          <w:p>
            <w:pPr>
              <w:pStyle w:val="TableContents"/>
              <w:bidi w:val="0"/>
              <w:spacing w:before="0" w:after="283"/>
              <w:jc w:val="left"/>
              <w:rPr>
                <w:b/>
              </w:rPr>
            </w:pPr>
            <w:r>
              <w:rPr>
                <w:b/>
              </w:rPr>
              <w:t>6 Months</w:t>
            </w:r>
          </w:p>
        </w:tc>
        <w:tc>
          <w:tcPr>
            <w:tcW w:w="90" w:type="dxa"/>
            <w:tcBorders/>
            <w:tcMar>
              <w:bottom w:w="0" w:type="dxa"/>
            </w:tcMar>
            <w:vAlign w:val="center"/>
          </w:tcPr>
          <w:p>
            <w:pPr>
              <w:pStyle w:val="TableContents"/>
              <w:bidi w:val="0"/>
              <w:spacing w:before="0" w:after="283"/>
              <w:jc w:val="left"/>
              <w:rPr/>
            </w:pPr>
            <w:r>
              <w:rPr/>
              <w:t> </w:t>
            </w:r>
          </w:p>
        </w:tc>
        <w:tc>
          <w:tcPr>
            <w:tcW w:w="2255" w:type="dxa"/>
            <w:gridSpan w:val="6"/>
            <w:tcBorders>
              <w:bottom w:val="single" w:sz="8" w:space="0" w:color="000000"/>
            </w:tcBorders>
            <w:vAlign w:val="center"/>
          </w:tcPr>
          <w:p>
            <w:pPr>
              <w:pStyle w:val="TableContents"/>
              <w:bidi w:val="0"/>
              <w:spacing w:before="0" w:after="283"/>
              <w:jc w:val="center"/>
              <w:rPr>
                <w:b/>
              </w:rPr>
            </w:pPr>
            <w:r>
              <w:rPr>
                <w:b/>
              </w:rPr>
              <w:t>June 30,</w:t>
              <w:br/>
              <w:t>2025</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95" w:type="dxa"/>
            <w:gridSpan w:val="6"/>
            <w:tcBorders>
              <w:bottom w:val="single" w:sz="8" w:space="0" w:color="000000"/>
            </w:tcBorders>
            <w:vAlign w:val="center"/>
          </w:tcPr>
          <w:p>
            <w:pPr>
              <w:pStyle w:val="TableContents"/>
              <w:bidi w:val="0"/>
              <w:spacing w:before="0" w:after="283"/>
              <w:jc w:val="center"/>
              <w:rPr>
                <w:b/>
              </w:rPr>
            </w:pPr>
            <w:r>
              <w:rPr>
                <w:b/>
              </w:rPr>
              <w:t>June 30,</w:t>
              <w:br/>
              <w:t>2024</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tcMar>
              <w:bottom w:w="0" w:type="dxa"/>
            </w:tcMar>
            <w:vAlign w:val="center"/>
          </w:tcPr>
          <w:p>
            <w:pPr>
              <w:pStyle w:val="TableContents"/>
              <w:bidi w:val="0"/>
              <w:spacing w:before="0" w:after="283"/>
              <w:jc w:val="center"/>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5" w:type="dxa"/>
            <w:gridSpan w:val="2"/>
            <w:tcBorders/>
            <w:tcMar>
              <w:bottom w:w="0" w:type="dxa"/>
            </w:tcMar>
            <w:vAlign w:val="center"/>
          </w:tcPr>
          <w:p>
            <w:pPr>
              <w:pStyle w:val="TableContents"/>
              <w:bidi w:val="0"/>
              <w:spacing w:before="0" w:after="283"/>
              <w:jc w:val="center"/>
              <w:rPr/>
            </w:pPr>
            <w:r>
              <w:rPr/>
              <w:t> </w:t>
            </w:r>
          </w:p>
        </w:tc>
        <w:tc>
          <w:tcPr>
            <w:tcW w:w="171" w:type="dxa"/>
            <w:tcBorders/>
            <w:tcMar>
              <w:bottom w:w="0" w:type="dxa"/>
            </w:tcMar>
            <w:vAlign w:val="center"/>
          </w:tcPr>
          <w:p>
            <w:pPr>
              <w:pStyle w:val="TableContents"/>
              <w:bidi w:val="0"/>
              <w:spacing w:before="0" w:after="283"/>
              <w:jc w:val="left"/>
              <w:rPr/>
            </w:pPr>
            <w:r>
              <w:rPr/>
              <w:t> </w:t>
            </w:r>
          </w:p>
        </w:tc>
      </w:tr>
      <w:tr>
        <w:trPr/>
        <w:tc>
          <w:tcPr>
            <w:tcW w:w="220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rPr>
            </w:pPr>
            <w:r>
              <w:rPr>
                <w:b/>
              </w:rPr>
              <w:t>%</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8" w:space="0" w:color="000000"/>
            </w:tcBorders>
            <w:vAlign w:val="center"/>
          </w:tcPr>
          <w:p>
            <w:pPr>
              <w:pStyle w:val="TableContents"/>
              <w:bidi w:val="0"/>
              <w:spacing w:before="0" w:after="283"/>
              <w:jc w:val="center"/>
              <w:rPr>
                <w:b/>
              </w:rPr>
            </w:pPr>
            <w:r>
              <w:rPr>
                <w:b/>
              </w:rPr>
              <w:t>Amount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rPr>
            </w:pPr>
            <w:r>
              <w:rPr>
                <w:b/>
              </w:rPr>
              <w:t>%</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bottom w:val="single" w:sz="8" w:space="0" w:color="000000"/>
            </w:tcBorders>
            <w:vAlign w:val="center"/>
          </w:tcPr>
          <w:p>
            <w:pPr>
              <w:pStyle w:val="TableContents"/>
              <w:bidi w:val="0"/>
              <w:spacing w:before="0" w:after="283"/>
              <w:jc w:val="center"/>
              <w:rPr>
                <w:b/>
              </w:rPr>
            </w:pPr>
            <w:r>
              <w:rPr>
                <w:b/>
              </w:rPr>
              <w:t>$ Change</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b/>
              </w:rPr>
            </w:pPr>
            <w:r>
              <w:rPr>
                <w:b/>
              </w:rPr>
              <w:t>% Change</w:t>
            </w:r>
          </w:p>
        </w:tc>
        <w:tc>
          <w:tcPr>
            <w:tcW w:w="171" w:type="dxa"/>
            <w:tcBorders/>
            <w:tcMar>
              <w:bottom w:w="0" w:type="dxa"/>
            </w:tcMar>
            <w:vAlign w:val="center"/>
          </w:tcPr>
          <w:p>
            <w:pPr>
              <w:pStyle w:val="TableContents"/>
              <w:bidi w:val="0"/>
              <w:spacing w:before="0" w:after="283"/>
              <w:jc w:val="left"/>
              <w:rPr/>
            </w:pPr>
            <w:r>
              <w:rPr/>
              <w:t> </w:t>
            </w:r>
          </w:p>
        </w:tc>
      </w:tr>
      <w:tr>
        <w:trPr/>
        <w:tc>
          <w:tcPr>
            <w:tcW w:w="2209" w:type="dxa"/>
            <w:tcBorders/>
            <w:tcMar>
              <w:bottom w:w="0" w:type="dxa"/>
            </w:tcMar>
            <w:vAlign w:val="center"/>
          </w:tcPr>
          <w:p>
            <w:pPr>
              <w:pStyle w:val="TableContents"/>
              <w:bidi w:val="0"/>
              <w:spacing w:before="0" w:after="283"/>
              <w:jc w:val="left"/>
              <w:rPr/>
            </w:pPr>
            <w:r>
              <w:rPr/>
              <w:t>Revenue:</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5" w:type="dxa"/>
            <w:gridSpan w:val="2"/>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ind w:left="0" w:right="0" w:hanging="158"/>
              <w:jc w:val="left"/>
              <w:rPr/>
            </w:pPr>
            <w:r>
              <w:rPr/>
              <w:t> </w:t>
            </w:r>
          </w:p>
        </w:tc>
      </w:tr>
      <w:tr>
        <w:trPr/>
        <w:tc>
          <w:tcPr>
            <w:tcW w:w="2209" w:type="dxa"/>
            <w:tcBorders/>
            <w:shd w:fill="CCEEFF" w:val="clear"/>
            <w:tcMar>
              <w:bottom w:w="0" w:type="dxa"/>
            </w:tcMar>
            <w:vAlign w:val="center"/>
          </w:tcPr>
          <w:p>
            <w:pPr>
              <w:pStyle w:val="TableContents"/>
              <w:bidi w:val="0"/>
              <w:spacing w:before="0" w:after="283"/>
              <w:jc w:val="left"/>
              <w:rPr/>
            </w:pPr>
            <w:r>
              <w:rPr/>
              <w:t>Digital Channels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17,346,308</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42.7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18,422,316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57.3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(1,076,008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-5.8</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National distribution</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14,185,321</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34.9</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5,933,896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18.5</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right"/>
              <w:rPr/>
            </w:pPr>
            <w:r>
              <w:rPr/>
              <w:t>8,251,425</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139.1</w:t>
            </w:r>
          </w:p>
        </w:tc>
        <w:tc>
          <w:tcPr>
            <w:tcW w:w="171" w:type="dxa"/>
            <w:tcBorders/>
            <w:tcMar>
              <w:bottom w:w="0" w:type="dxa"/>
            </w:tcMar>
            <w:vAlign w:val="center"/>
          </w:tcPr>
          <w:p>
            <w:pPr>
              <w:pStyle w:val="TableContents"/>
              <w:bidi w:val="0"/>
              <w:spacing w:before="0" w:after="283"/>
              <w:ind w:left="0" w:right="0" w:hanging="158"/>
              <w:jc w:val="left"/>
              <w:rPr/>
            </w:pPr>
            <w:r>
              <w:rPr/>
              <w:t>%</w:t>
            </w:r>
          </w:p>
        </w:tc>
      </w:tr>
      <w:tr>
        <w:trPr/>
        <w:tc>
          <w:tcPr>
            <w:tcW w:w="2209" w:type="dxa"/>
            <w:tcBorders/>
            <w:shd w:fill="CCEEFF" w:val="clear"/>
            <w:tcMar>
              <w:bottom w:w="0" w:type="dxa"/>
            </w:tcMar>
            <w:vAlign w:val="center"/>
          </w:tcPr>
          <w:p>
            <w:pPr>
              <w:pStyle w:val="TableContents"/>
              <w:bidi w:val="0"/>
              <w:spacing w:before="0" w:after="283"/>
              <w:jc w:val="left"/>
              <w:rPr/>
            </w:pPr>
            <w:r>
              <w:rPr/>
              <w:t>Local distribution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8,666,329</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21.3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5,177,098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16.1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3,489,231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67.4</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Direct to consumer</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2,151,663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6.7</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right"/>
              <w:rPr/>
            </w:pPr>
            <w:r>
              <w:rPr/>
              <w:t>(2,151,663</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-100.0</w:t>
            </w:r>
          </w:p>
        </w:tc>
        <w:tc>
          <w:tcPr>
            <w:tcW w:w="171" w:type="dxa"/>
            <w:tcBorders/>
            <w:tcMar>
              <w:bottom w:w="0" w:type="dxa"/>
            </w:tcMar>
            <w:vAlign w:val="center"/>
          </w:tcPr>
          <w:p>
            <w:pPr>
              <w:pStyle w:val="TableContents"/>
              <w:bidi w:val="0"/>
              <w:spacing w:before="0" w:after="283"/>
              <w:ind w:left="0" w:right="0" w:hanging="158"/>
              <w:jc w:val="left"/>
              <w:rPr/>
            </w:pPr>
            <w:r>
              <w:rPr/>
              <w:t>%</w:t>
            </w:r>
          </w:p>
        </w:tc>
      </w:tr>
      <w:tr>
        <w:trPr/>
        <w:tc>
          <w:tcPr>
            <w:tcW w:w="2209" w:type="dxa"/>
            <w:tcBorders/>
            <w:shd w:fill="CCEEFF" w:val="clear"/>
            <w:tcMar>
              <w:bottom w:w="0" w:type="dxa"/>
            </w:tcMar>
            <w:vAlign w:val="center"/>
          </w:tcPr>
          <w:p>
            <w:pPr>
              <w:pStyle w:val="TableContents"/>
              <w:bidi w:val="0"/>
              <w:spacing w:before="0" w:after="283"/>
              <w:jc w:val="left"/>
              <w:rPr/>
            </w:pPr>
            <w:r>
              <w:rPr/>
              <w:t>Other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c>
          <w:tcPr>
            <w:tcW w:w="1130" w:type="dxa"/>
            <w:tcBorders>
              <w:bottom w:val="single" w:sz="8" w:space="0" w:color="000000"/>
            </w:tcBorders>
            <w:shd w:fill="CCEEFF" w:val="clear"/>
            <w:vAlign w:val="center"/>
          </w:tcPr>
          <w:p>
            <w:pPr>
              <w:pStyle w:val="TableContents"/>
              <w:bidi w:val="0"/>
              <w:spacing w:before="0" w:after="283"/>
              <w:jc w:val="right"/>
              <w:rPr/>
            </w:pPr>
            <w:r>
              <w:rPr/>
              <w:t>453,742</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1.1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c>
          <w:tcPr>
            <w:tcW w:w="1130" w:type="dxa"/>
            <w:tcBorders>
              <w:bottom w:val="single" w:sz="8" w:space="0" w:color="000000"/>
            </w:tcBorders>
            <w:shd w:fill="CCEEFF" w:val="clear"/>
            <w:vAlign w:val="center"/>
          </w:tcPr>
          <w:p>
            <w:pPr>
              <w:pStyle w:val="TableContents"/>
              <w:bidi w:val="0"/>
              <w:spacing w:before="0" w:after="283"/>
              <w:jc w:val="right"/>
              <w:rPr/>
            </w:pPr>
            <w:r>
              <w:rPr/>
              <w:t>457,468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1.4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c>
          <w:tcPr>
            <w:tcW w:w="1085" w:type="dxa"/>
            <w:tcBorders>
              <w:bottom w:val="single" w:sz="8" w:space="0" w:color="000000"/>
            </w:tcBorders>
            <w:shd w:fill="CCEEFF" w:val="clear"/>
            <w:vAlign w:val="center"/>
          </w:tcPr>
          <w:p>
            <w:pPr>
              <w:pStyle w:val="TableContents"/>
              <w:bidi w:val="0"/>
              <w:spacing w:before="0" w:after="283"/>
              <w:jc w:val="right"/>
              <w:rPr/>
            </w:pPr>
            <w:r>
              <w:rPr/>
              <w:t>(3,726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009" w:type="dxa"/>
            <w:tcBorders>
              <w:bottom w:val="single" w:sz="8" w:space="0" w:color="000000"/>
            </w:tcBorders>
            <w:shd w:fill="CCEEFF" w:val="clear"/>
            <w:vAlign w:val="center"/>
          </w:tcPr>
          <w:p>
            <w:pPr>
              <w:pStyle w:val="TableContents"/>
              <w:bidi w:val="0"/>
              <w:spacing w:before="0" w:after="283"/>
              <w:jc w:val="right"/>
              <w:rPr/>
            </w:pPr>
            <w:r>
              <w:rPr/>
              <w:t>-0.8</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Total revenue</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40,651,700</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100.0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32,142,441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100.0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right"/>
              <w:rPr/>
            </w:pPr>
            <w:r>
              <w:rPr/>
              <w:t>8,509,259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26.5</w:t>
            </w:r>
          </w:p>
        </w:tc>
        <w:tc>
          <w:tcPr>
            <w:tcW w:w="171" w:type="dxa"/>
            <w:tcBorders/>
            <w:tcMar>
              <w:bottom w:w="0" w:type="dxa"/>
            </w:tcMar>
            <w:vAlign w:val="center"/>
          </w:tcPr>
          <w:p>
            <w:pPr>
              <w:pStyle w:val="TableContents"/>
              <w:bidi w:val="0"/>
              <w:spacing w:before="0" w:after="283"/>
              <w:ind w:left="0" w:right="0" w:hanging="158"/>
              <w:jc w:val="left"/>
              <w:rPr/>
            </w:pPr>
            <w:r>
              <w:rPr/>
              <w:t>%</w:t>
            </w:r>
          </w:p>
        </w:tc>
      </w:tr>
      <w:tr>
        <w:trPr/>
        <w:tc>
          <w:tcPr>
            <w:tcW w:w="220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 </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 </w:t>
            </w:r>
          </w:p>
        </w:tc>
      </w:tr>
      <w:tr>
        <w:trPr/>
        <w:tc>
          <w:tcPr>
            <w:tcW w:w="2209" w:type="dxa"/>
            <w:tcBorders/>
            <w:tcMar>
              <w:bottom w:w="0" w:type="dxa"/>
            </w:tcMar>
            <w:vAlign w:val="center"/>
          </w:tcPr>
          <w:p>
            <w:pPr>
              <w:pStyle w:val="TableContents"/>
              <w:bidi w:val="0"/>
              <w:spacing w:before="0" w:after="283"/>
              <w:jc w:val="left"/>
              <w:rPr/>
            </w:pPr>
            <w:r>
              <w:rPr/>
              <w:t>Cost of sales</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w:t>
            </w:r>
          </w:p>
        </w:tc>
        <w:tc>
          <w:tcPr>
            <w:tcW w:w="1130" w:type="dxa"/>
            <w:tcBorders>
              <w:bottom w:val="single" w:sz="8" w:space="0" w:color="000000"/>
            </w:tcBorders>
            <w:vAlign w:val="center"/>
          </w:tcPr>
          <w:p>
            <w:pPr>
              <w:pStyle w:val="TableContents"/>
              <w:bidi w:val="0"/>
              <w:spacing w:before="0" w:after="283"/>
              <w:jc w:val="right"/>
              <w:rPr/>
            </w:pPr>
            <w:r>
              <w:rPr/>
              <w:t>31,732,040</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pPr>
            <w:r>
              <w:rPr/>
              <w:t>78.1</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w:t>
            </w:r>
          </w:p>
        </w:tc>
        <w:tc>
          <w:tcPr>
            <w:tcW w:w="1130" w:type="dxa"/>
            <w:tcBorders>
              <w:bottom w:val="single" w:sz="8" w:space="0" w:color="000000"/>
            </w:tcBorders>
            <w:vAlign w:val="center"/>
          </w:tcPr>
          <w:p>
            <w:pPr>
              <w:pStyle w:val="TableContents"/>
              <w:bidi w:val="0"/>
              <w:spacing w:before="0" w:after="283"/>
              <w:jc w:val="right"/>
              <w:rPr/>
            </w:pPr>
            <w:r>
              <w:rPr/>
              <w:t>24,355,620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pPr>
            <w:r>
              <w:rPr/>
              <w:t>75.8</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w:t>
            </w:r>
          </w:p>
        </w:tc>
        <w:tc>
          <w:tcPr>
            <w:tcW w:w="1085" w:type="dxa"/>
            <w:tcBorders>
              <w:bottom w:val="single" w:sz="8" w:space="0" w:color="000000"/>
            </w:tcBorders>
            <w:vAlign w:val="center"/>
          </w:tcPr>
          <w:p>
            <w:pPr>
              <w:pStyle w:val="TableContents"/>
              <w:bidi w:val="0"/>
              <w:spacing w:before="0" w:after="283"/>
              <w:jc w:val="right"/>
              <w:rPr/>
            </w:pPr>
            <w:r>
              <w:rPr/>
              <w:t>7,376,420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vAlign w:val="center"/>
          </w:tcPr>
          <w:p>
            <w:pPr>
              <w:pStyle w:val="TableContents"/>
              <w:bidi w:val="0"/>
              <w:spacing w:before="0" w:after="283"/>
              <w:jc w:val="left"/>
              <w:rPr/>
            </w:pPr>
            <w:r>
              <w:rPr/>
              <w:t> </w:t>
            </w:r>
          </w:p>
        </w:tc>
        <w:tc>
          <w:tcPr>
            <w:tcW w:w="1009" w:type="dxa"/>
            <w:tcBorders>
              <w:bottom w:val="single" w:sz="8" w:space="0" w:color="000000"/>
            </w:tcBorders>
            <w:vAlign w:val="center"/>
          </w:tcPr>
          <w:p>
            <w:pPr>
              <w:pStyle w:val="TableContents"/>
              <w:bidi w:val="0"/>
              <w:spacing w:before="0" w:after="283"/>
              <w:jc w:val="right"/>
              <w:rPr/>
            </w:pPr>
            <w:r>
              <w:rPr/>
              <w:t>30.3</w:t>
            </w:r>
          </w:p>
        </w:tc>
        <w:tc>
          <w:tcPr>
            <w:tcW w:w="171" w:type="dxa"/>
            <w:tcBorders/>
            <w:tcMar>
              <w:bottom w:w="0" w:type="dxa"/>
            </w:tcMar>
            <w:vAlign w:val="center"/>
          </w:tcPr>
          <w:p>
            <w:pPr>
              <w:pStyle w:val="TableContents"/>
              <w:bidi w:val="0"/>
              <w:spacing w:before="0" w:after="283"/>
              <w:ind w:left="0" w:right="0" w:hanging="158"/>
              <w:jc w:val="left"/>
              <w:rPr/>
            </w:pPr>
            <w:r>
              <w:rPr/>
              <w:t>%</w:t>
            </w:r>
          </w:p>
        </w:tc>
      </w:tr>
      <w:tr>
        <w:trPr/>
        <w:tc>
          <w:tcPr>
            <w:tcW w:w="2209" w:type="dxa"/>
            <w:tcBorders/>
            <w:shd w:fill="CCEEFF" w:val="clear"/>
            <w:tcMar>
              <w:bottom w:w="0" w:type="dxa"/>
            </w:tcMar>
            <w:vAlign w:val="center"/>
          </w:tcPr>
          <w:p>
            <w:pPr>
              <w:pStyle w:val="TableContents"/>
              <w:bidi w:val="0"/>
              <w:spacing w:before="0" w:after="283"/>
              <w:jc w:val="left"/>
              <w:rPr/>
            </w:pPr>
            <w:r>
              <w:rPr/>
              <w:t>Gross margin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8,919,660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21.9</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7,786,821</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24.2</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1,132,839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14.5</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 </w:t>
            </w:r>
          </w:p>
        </w:tc>
        <w:tc>
          <w:tcPr>
            <w:tcW w:w="171" w:type="dxa"/>
            <w:tcBorders/>
            <w:tcMar>
              <w:bottom w:w="0" w:type="dxa"/>
            </w:tcMar>
            <w:vAlign w:val="center"/>
          </w:tcPr>
          <w:p>
            <w:pPr>
              <w:pStyle w:val="TableContents"/>
              <w:bidi w:val="0"/>
              <w:spacing w:before="0" w:after="283"/>
              <w:ind w:left="0" w:right="0" w:hanging="158"/>
              <w:jc w:val="left"/>
              <w:rPr/>
            </w:pPr>
            <w:r>
              <w:rPr/>
              <w:t> </w:t>
            </w:r>
          </w:p>
        </w:tc>
      </w:tr>
      <w:tr>
        <w:trPr/>
        <w:tc>
          <w:tcPr>
            <w:tcW w:w="2209" w:type="dxa"/>
            <w:tcBorders/>
            <w:shd w:fill="CCEEFF" w:val="clear"/>
            <w:tcMar>
              <w:bottom w:w="0" w:type="dxa"/>
            </w:tcMar>
            <w:vAlign w:val="center"/>
          </w:tcPr>
          <w:p>
            <w:pPr>
              <w:pStyle w:val="TableContents"/>
              <w:bidi w:val="0"/>
              <w:spacing w:before="0" w:after="283"/>
              <w:jc w:val="left"/>
              <w:rPr/>
            </w:pPr>
            <w:r>
              <w:rPr/>
              <w:t>Cash OpEx:</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 </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 </w:t>
            </w:r>
          </w:p>
        </w:tc>
      </w:tr>
      <w:tr>
        <w:trPr/>
        <w:tc>
          <w:tcPr>
            <w:tcW w:w="2209" w:type="dxa"/>
            <w:tcBorders/>
            <w:tcMar>
              <w:bottom w:w="0" w:type="dxa"/>
            </w:tcMar>
            <w:vAlign w:val="center"/>
          </w:tcPr>
          <w:p>
            <w:pPr>
              <w:pStyle w:val="TableContents"/>
              <w:bidi w:val="0"/>
              <w:spacing w:before="0" w:after="283"/>
              <w:jc w:val="left"/>
              <w:rPr/>
            </w:pPr>
            <w:r>
              <w:rPr/>
              <w:t>Payroll &amp; related costs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5,839,284</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14.4</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4,803,914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15.0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right"/>
              <w:rPr/>
            </w:pPr>
            <w:r>
              <w:rPr/>
              <w:t>1,035,370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21.6</w:t>
            </w:r>
          </w:p>
        </w:tc>
        <w:tc>
          <w:tcPr>
            <w:tcW w:w="171" w:type="dxa"/>
            <w:tcBorders/>
            <w:tcMar>
              <w:bottom w:w="0" w:type="dxa"/>
            </w:tcMar>
            <w:vAlign w:val="center"/>
          </w:tcPr>
          <w:p>
            <w:pPr>
              <w:pStyle w:val="TableContents"/>
              <w:bidi w:val="0"/>
              <w:spacing w:before="0" w:after="283"/>
              <w:ind w:left="0" w:right="0" w:hanging="158"/>
              <w:jc w:val="left"/>
              <w:rPr/>
            </w:pPr>
            <w:r>
              <w:rPr/>
              <w:t>%</w:t>
            </w:r>
          </w:p>
        </w:tc>
      </w:tr>
      <w:tr>
        <w:trPr/>
        <w:tc>
          <w:tcPr>
            <w:tcW w:w="2209" w:type="dxa"/>
            <w:tcBorders/>
            <w:shd w:fill="CCEEFF" w:val="clear"/>
            <w:tcMar>
              <w:bottom w:w="0" w:type="dxa"/>
            </w:tcMar>
            <w:vAlign w:val="center"/>
          </w:tcPr>
          <w:p>
            <w:pPr>
              <w:pStyle w:val="TableContents"/>
              <w:bidi w:val="0"/>
              <w:spacing w:before="0" w:after="283"/>
              <w:jc w:val="left"/>
              <w:rPr/>
            </w:pPr>
            <w:r>
              <w:rPr/>
              <w:t>Computer and IT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204,377</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229,295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0.7</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(24,918</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-10.9</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Office, facility, vehicles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1,021,503</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2.5</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426,451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1.3</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right"/>
              <w:rPr/>
            </w:pPr>
            <w:r>
              <w:rPr/>
              <w:t>595,052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139.5</w:t>
            </w:r>
          </w:p>
        </w:tc>
        <w:tc>
          <w:tcPr>
            <w:tcW w:w="171" w:type="dxa"/>
            <w:tcBorders/>
            <w:tcMar>
              <w:bottom w:w="0" w:type="dxa"/>
            </w:tcMar>
            <w:vAlign w:val="center"/>
          </w:tcPr>
          <w:p>
            <w:pPr>
              <w:pStyle w:val="TableContents"/>
              <w:bidi w:val="0"/>
              <w:spacing w:before="0" w:after="283"/>
              <w:ind w:left="0" w:right="0" w:hanging="158"/>
              <w:jc w:val="left"/>
              <w:rPr/>
            </w:pPr>
            <w:r>
              <w:rPr/>
              <w:t>%</w:t>
            </w:r>
          </w:p>
        </w:tc>
      </w:tr>
      <w:tr>
        <w:trPr/>
        <w:tc>
          <w:tcPr>
            <w:tcW w:w="2209" w:type="dxa"/>
            <w:tcBorders/>
            <w:shd w:fill="CCEEFF" w:val="clear"/>
            <w:tcMar>
              <w:bottom w:w="0" w:type="dxa"/>
            </w:tcMar>
            <w:vAlign w:val="center"/>
          </w:tcPr>
          <w:p>
            <w:pPr>
              <w:pStyle w:val="TableContents"/>
              <w:bidi w:val="0"/>
              <w:spacing w:before="0" w:after="283"/>
              <w:jc w:val="left"/>
              <w:rPr/>
            </w:pPr>
            <w:r>
              <w:rPr/>
              <w:t>Insurance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330,874</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362,644</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(31,771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-8.8</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Commissions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ind w:left="0" w:right="0" w:hanging="158"/>
              <w:jc w:val="left"/>
              <w:rPr/>
            </w:pPr>
            <w:r>
              <w:rPr/>
              <w:t> </w:t>
            </w:r>
          </w:p>
        </w:tc>
      </w:tr>
      <w:tr>
        <w:trPr/>
        <w:tc>
          <w:tcPr>
            <w:tcW w:w="2209" w:type="dxa"/>
            <w:tcBorders/>
            <w:shd w:fill="CCEEFF" w:val="clear"/>
            <w:tcMar>
              <w:bottom w:w="0" w:type="dxa"/>
            </w:tcMar>
            <w:vAlign w:val="center"/>
          </w:tcPr>
          <w:p>
            <w:pPr>
              <w:pStyle w:val="TableContents"/>
              <w:bidi w:val="0"/>
              <w:spacing w:before="0" w:after="283"/>
              <w:jc w:val="left"/>
              <w:rPr/>
            </w:pPr>
            <w:r>
              <w:rPr/>
              <w:t>Travel &amp; entertainment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49,990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98,139</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(48,149</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-49.1</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Advertising &amp; marketing</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7,900</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26,867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0.1</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right"/>
              <w:rPr/>
            </w:pPr>
            <w:r>
              <w:rPr/>
              <w:t>(18,967</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-70.6</w:t>
            </w:r>
          </w:p>
        </w:tc>
        <w:tc>
          <w:tcPr>
            <w:tcW w:w="171" w:type="dxa"/>
            <w:tcBorders/>
            <w:tcMar>
              <w:bottom w:w="0" w:type="dxa"/>
            </w:tcMar>
            <w:vAlign w:val="center"/>
          </w:tcPr>
          <w:p>
            <w:pPr>
              <w:pStyle w:val="TableContents"/>
              <w:bidi w:val="0"/>
              <w:spacing w:before="0" w:after="283"/>
              <w:ind w:left="0" w:right="0" w:hanging="158"/>
              <w:jc w:val="left"/>
              <w:rPr/>
            </w:pPr>
            <w:r>
              <w:rPr/>
              <w:t>%</w:t>
            </w:r>
          </w:p>
        </w:tc>
      </w:tr>
      <w:tr>
        <w:trPr/>
        <w:tc>
          <w:tcPr>
            <w:tcW w:w="2209" w:type="dxa"/>
            <w:tcBorders/>
            <w:shd w:fill="CCEEFF" w:val="clear"/>
            <w:tcMar>
              <w:bottom w:w="0" w:type="dxa"/>
            </w:tcMar>
            <w:vAlign w:val="center"/>
          </w:tcPr>
          <w:p>
            <w:pPr>
              <w:pStyle w:val="TableContents"/>
              <w:bidi w:val="0"/>
              <w:spacing w:before="0" w:after="283"/>
              <w:jc w:val="left"/>
              <w:rPr/>
            </w:pPr>
            <w:r>
              <w:rPr/>
              <w:t>Banking and credit card processing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23,735</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6,963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16,772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240.9</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Professional fees</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w:t>
            </w:r>
          </w:p>
        </w:tc>
        <w:tc>
          <w:tcPr>
            <w:tcW w:w="1130" w:type="dxa"/>
            <w:tcBorders>
              <w:bottom w:val="single" w:sz="8" w:space="0" w:color="000000"/>
            </w:tcBorders>
            <w:vAlign w:val="center"/>
          </w:tcPr>
          <w:p>
            <w:pPr>
              <w:pStyle w:val="TableContents"/>
              <w:bidi w:val="0"/>
              <w:spacing w:before="0" w:after="283"/>
              <w:jc w:val="right"/>
              <w:rPr/>
            </w:pPr>
            <w:r>
              <w:rPr/>
              <w:t>1,075,161</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pPr>
            <w:r>
              <w:rPr/>
              <w:t>2.6</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w:t>
            </w:r>
          </w:p>
        </w:tc>
        <w:tc>
          <w:tcPr>
            <w:tcW w:w="1130" w:type="dxa"/>
            <w:tcBorders>
              <w:bottom w:val="single" w:sz="8" w:space="0" w:color="000000"/>
            </w:tcBorders>
            <w:vAlign w:val="center"/>
          </w:tcPr>
          <w:p>
            <w:pPr>
              <w:pStyle w:val="TableContents"/>
              <w:bidi w:val="0"/>
              <w:spacing w:before="0" w:after="283"/>
              <w:jc w:val="right"/>
              <w:rPr/>
            </w:pPr>
            <w:r>
              <w:rPr/>
              <w:t>760,234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pPr>
            <w:r>
              <w:rPr/>
              <w:t>2.4</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w:t>
            </w:r>
          </w:p>
        </w:tc>
        <w:tc>
          <w:tcPr>
            <w:tcW w:w="1085" w:type="dxa"/>
            <w:tcBorders>
              <w:bottom w:val="single" w:sz="8" w:space="0" w:color="000000"/>
            </w:tcBorders>
            <w:vAlign w:val="center"/>
          </w:tcPr>
          <w:p>
            <w:pPr>
              <w:pStyle w:val="TableContents"/>
              <w:bidi w:val="0"/>
              <w:spacing w:before="0" w:after="283"/>
              <w:jc w:val="right"/>
              <w:rPr/>
            </w:pPr>
            <w:r>
              <w:rPr/>
              <w:t>314,927</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vAlign w:val="center"/>
          </w:tcPr>
          <w:p>
            <w:pPr>
              <w:pStyle w:val="TableContents"/>
              <w:bidi w:val="0"/>
              <w:spacing w:before="0" w:after="283"/>
              <w:jc w:val="left"/>
              <w:rPr/>
            </w:pPr>
            <w:r>
              <w:rPr/>
              <w:t> </w:t>
            </w:r>
          </w:p>
        </w:tc>
        <w:tc>
          <w:tcPr>
            <w:tcW w:w="1009" w:type="dxa"/>
            <w:tcBorders>
              <w:bottom w:val="single" w:sz="8" w:space="0" w:color="000000"/>
            </w:tcBorders>
            <w:vAlign w:val="center"/>
          </w:tcPr>
          <w:p>
            <w:pPr>
              <w:pStyle w:val="TableContents"/>
              <w:bidi w:val="0"/>
              <w:spacing w:before="0" w:after="283"/>
              <w:jc w:val="right"/>
              <w:rPr/>
            </w:pPr>
            <w:r>
              <w:rPr/>
              <w:t>41.4</w:t>
            </w:r>
          </w:p>
        </w:tc>
        <w:tc>
          <w:tcPr>
            <w:tcW w:w="171" w:type="dxa"/>
            <w:tcBorders/>
            <w:tcMar>
              <w:bottom w:w="0" w:type="dxa"/>
            </w:tcMar>
            <w:vAlign w:val="center"/>
          </w:tcPr>
          <w:p>
            <w:pPr>
              <w:pStyle w:val="TableContents"/>
              <w:bidi w:val="0"/>
              <w:spacing w:before="0" w:after="283"/>
              <w:ind w:left="0" w:right="0" w:hanging="158"/>
              <w:jc w:val="left"/>
              <w:rPr/>
            </w:pPr>
            <w:r>
              <w:rPr/>
              <w:t>%</w:t>
            </w:r>
          </w:p>
        </w:tc>
      </w:tr>
      <w:tr>
        <w:trPr/>
        <w:tc>
          <w:tcPr>
            <w:tcW w:w="220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8,552,824</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21.0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6,714,507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20.9</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1,838,317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27.4</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Non-cash OpEx:</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 </w:t>
            </w:r>
          </w:p>
        </w:tc>
        <w:tc>
          <w:tcPr>
            <w:tcW w:w="171" w:type="dxa"/>
            <w:tcBorders/>
            <w:tcMar>
              <w:bottom w:w="0" w:type="dxa"/>
            </w:tcMar>
            <w:vAlign w:val="center"/>
          </w:tcPr>
          <w:p>
            <w:pPr>
              <w:pStyle w:val="TableContents"/>
              <w:bidi w:val="0"/>
              <w:spacing w:before="0" w:after="283"/>
              <w:ind w:left="0" w:right="0" w:hanging="158"/>
              <w:jc w:val="left"/>
              <w:rPr/>
            </w:pPr>
            <w:r>
              <w:rPr/>
              <w:t> </w:t>
            </w:r>
          </w:p>
        </w:tc>
      </w:tr>
      <w:tr>
        <w:trPr/>
        <w:tc>
          <w:tcPr>
            <w:tcW w:w="2209" w:type="dxa"/>
            <w:tcBorders/>
            <w:shd w:fill="CCEEFF" w:val="clear"/>
            <w:tcMar>
              <w:bottom w:w="0" w:type="dxa"/>
            </w:tcMar>
            <w:vAlign w:val="center"/>
          </w:tcPr>
          <w:p>
            <w:pPr>
              <w:pStyle w:val="TableContents"/>
              <w:bidi w:val="0"/>
              <w:spacing w:before="0" w:after="283"/>
              <w:jc w:val="left"/>
              <w:rPr/>
            </w:pPr>
            <w:r>
              <w:rPr/>
              <w:t>Bad debt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28,310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35,855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0.1</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(7,545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-21.0</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Share based compensation</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(24,861</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-0.1</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740,253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2.3</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right"/>
              <w:rPr/>
            </w:pPr>
            <w:r>
              <w:rPr/>
              <w:t>(765,114</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-103.4</w:t>
            </w:r>
          </w:p>
        </w:tc>
        <w:tc>
          <w:tcPr>
            <w:tcW w:w="171" w:type="dxa"/>
            <w:tcBorders/>
            <w:tcMar>
              <w:bottom w:w="0" w:type="dxa"/>
            </w:tcMar>
            <w:vAlign w:val="center"/>
          </w:tcPr>
          <w:p>
            <w:pPr>
              <w:pStyle w:val="TableContents"/>
              <w:bidi w:val="0"/>
              <w:spacing w:before="0" w:after="283"/>
              <w:ind w:left="0" w:right="0" w:hanging="158"/>
              <w:jc w:val="left"/>
              <w:rPr/>
            </w:pPr>
            <w:r>
              <w:rPr/>
              <w:t>%</w:t>
            </w:r>
          </w:p>
        </w:tc>
      </w:tr>
      <w:tr>
        <w:trPr/>
        <w:tc>
          <w:tcPr>
            <w:tcW w:w="2209" w:type="dxa"/>
            <w:tcBorders/>
            <w:shd w:fill="CCEEFF" w:val="clear"/>
            <w:tcMar>
              <w:bottom w:w="0" w:type="dxa"/>
            </w:tcMar>
            <w:vAlign w:val="center"/>
          </w:tcPr>
          <w:p>
            <w:pPr>
              <w:pStyle w:val="TableContents"/>
              <w:bidi w:val="0"/>
              <w:spacing w:before="0" w:after="283"/>
              <w:jc w:val="left"/>
              <w:rPr/>
            </w:pPr>
            <w:r>
              <w:rPr/>
              <w:t>Depreciation &amp; amortization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218,474</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163,627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0.5</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54,847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33.5</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Taxes &amp; fees</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w:t>
            </w:r>
          </w:p>
        </w:tc>
        <w:tc>
          <w:tcPr>
            <w:tcW w:w="1130" w:type="dxa"/>
            <w:tcBorders>
              <w:bottom w:val="single" w:sz="8" w:space="0" w:color="000000"/>
            </w:tcBorders>
            <w:vAlign w:val="center"/>
          </w:tcPr>
          <w:p>
            <w:pPr>
              <w:pStyle w:val="TableContents"/>
              <w:bidi w:val="0"/>
              <w:spacing w:before="0" w:after="283"/>
              <w:jc w:val="right"/>
              <w:rPr/>
            </w:pPr>
            <w:r>
              <w:rPr/>
              <w:t>123,546</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pPr>
            <w:r>
              <w:rPr/>
              <w:t>0.3</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w:t>
            </w:r>
          </w:p>
        </w:tc>
        <w:tc>
          <w:tcPr>
            <w:tcW w:w="1130" w:type="dxa"/>
            <w:tcBorders>
              <w:bottom w:val="single" w:sz="8" w:space="0" w:color="000000"/>
            </w:tcBorders>
            <w:vAlign w:val="center"/>
          </w:tcPr>
          <w:p>
            <w:pPr>
              <w:pStyle w:val="TableContents"/>
              <w:bidi w:val="0"/>
              <w:spacing w:before="0" w:after="283"/>
              <w:jc w:val="right"/>
              <w:rPr/>
            </w:pPr>
            <w:r>
              <w:rPr/>
              <w:t>158,898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pPr>
            <w:r>
              <w:rPr/>
              <w:t>0.5</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w:t>
            </w:r>
          </w:p>
        </w:tc>
        <w:tc>
          <w:tcPr>
            <w:tcW w:w="1085" w:type="dxa"/>
            <w:tcBorders>
              <w:bottom w:val="single" w:sz="8" w:space="0" w:color="000000"/>
            </w:tcBorders>
            <w:vAlign w:val="center"/>
          </w:tcPr>
          <w:p>
            <w:pPr>
              <w:pStyle w:val="TableContents"/>
              <w:bidi w:val="0"/>
              <w:spacing w:before="0" w:after="283"/>
              <w:jc w:val="right"/>
              <w:rPr/>
            </w:pPr>
            <w:r>
              <w:rPr/>
              <w:t>(35,352</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vAlign w:val="center"/>
          </w:tcPr>
          <w:p>
            <w:pPr>
              <w:pStyle w:val="TableContents"/>
              <w:bidi w:val="0"/>
              <w:spacing w:before="0" w:after="283"/>
              <w:jc w:val="left"/>
              <w:rPr/>
            </w:pPr>
            <w:r>
              <w:rPr/>
              <w:t> </w:t>
            </w:r>
          </w:p>
        </w:tc>
        <w:tc>
          <w:tcPr>
            <w:tcW w:w="1009" w:type="dxa"/>
            <w:tcBorders>
              <w:bottom w:val="single" w:sz="8" w:space="0" w:color="000000"/>
            </w:tcBorders>
            <w:vAlign w:val="center"/>
          </w:tcPr>
          <w:p>
            <w:pPr>
              <w:pStyle w:val="TableContents"/>
              <w:bidi w:val="0"/>
              <w:spacing w:before="0" w:after="283"/>
              <w:jc w:val="right"/>
              <w:rPr/>
            </w:pPr>
            <w:r>
              <w:rPr/>
              <w:t>-22.2</w:t>
            </w:r>
          </w:p>
        </w:tc>
        <w:tc>
          <w:tcPr>
            <w:tcW w:w="171" w:type="dxa"/>
            <w:tcBorders/>
            <w:tcMar>
              <w:bottom w:w="0" w:type="dxa"/>
            </w:tcMar>
            <w:vAlign w:val="center"/>
          </w:tcPr>
          <w:p>
            <w:pPr>
              <w:pStyle w:val="TableContents"/>
              <w:bidi w:val="0"/>
              <w:spacing w:before="0" w:after="283"/>
              <w:ind w:left="0" w:right="0" w:hanging="158"/>
              <w:jc w:val="left"/>
              <w:rPr/>
            </w:pPr>
            <w:r>
              <w:rPr/>
              <w:t>%</w:t>
            </w:r>
          </w:p>
        </w:tc>
      </w:tr>
      <w:tr>
        <w:trPr/>
        <w:tc>
          <w:tcPr>
            <w:tcW w:w="2209"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c>
          <w:tcPr>
            <w:tcW w:w="1130" w:type="dxa"/>
            <w:tcBorders>
              <w:bottom w:val="single" w:sz="8" w:space="0" w:color="000000"/>
            </w:tcBorders>
            <w:shd w:fill="CCEEFF" w:val="clear"/>
            <w:vAlign w:val="center"/>
          </w:tcPr>
          <w:p>
            <w:pPr>
              <w:pStyle w:val="TableContents"/>
              <w:bidi w:val="0"/>
              <w:spacing w:before="0" w:after="283"/>
              <w:jc w:val="right"/>
              <w:rPr/>
            </w:pPr>
            <w:r>
              <w:rPr/>
              <w:t>345,469</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0.8</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c>
          <w:tcPr>
            <w:tcW w:w="1130" w:type="dxa"/>
            <w:tcBorders>
              <w:bottom w:val="single" w:sz="8" w:space="0" w:color="000000"/>
            </w:tcBorders>
            <w:shd w:fill="CCEEFF" w:val="clear"/>
            <w:vAlign w:val="center"/>
          </w:tcPr>
          <w:p>
            <w:pPr>
              <w:pStyle w:val="TableContents"/>
              <w:bidi w:val="0"/>
              <w:spacing w:before="0" w:after="283"/>
              <w:jc w:val="right"/>
              <w:rPr/>
            </w:pPr>
            <w:r>
              <w:rPr/>
              <w:t>1,098,633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3.4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c>
          <w:tcPr>
            <w:tcW w:w="1085" w:type="dxa"/>
            <w:tcBorders>
              <w:bottom w:val="single" w:sz="8" w:space="0" w:color="000000"/>
            </w:tcBorders>
            <w:shd w:fill="CCEEFF" w:val="clear"/>
            <w:vAlign w:val="center"/>
          </w:tcPr>
          <w:p>
            <w:pPr>
              <w:pStyle w:val="TableContents"/>
              <w:bidi w:val="0"/>
              <w:spacing w:before="0" w:after="283"/>
              <w:jc w:val="right"/>
              <w:rPr/>
            </w:pPr>
            <w:r>
              <w:rPr/>
              <w:t>(753,164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009" w:type="dxa"/>
            <w:tcBorders>
              <w:bottom w:val="single" w:sz="8" w:space="0" w:color="000000"/>
            </w:tcBorders>
            <w:shd w:fill="CCEEFF" w:val="clear"/>
            <w:vAlign w:val="center"/>
          </w:tcPr>
          <w:p>
            <w:pPr>
              <w:pStyle w:val="TableContents"/>
              <w:bidi w:val="0"/>
              <w:spacing w:before="0" w:after="283"/>
              <w:jc w:val="right"/>
              <w:rPr/>
            </w:pPr>
            <w:r>
              <w:rPr/>
              <w:t>-68.6</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Non-Operating (Income) Expense:</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 </w:t>
            </w:r>
          </w:p>
        </w:tc>
        <w:tc>
          <w:tcPr>
            <w:tcW w:w="171" w:type="dxa"/>
            <w:tcBorders/>
            <w:tcMar>
              <w:bottom w:w="0" w:type="dxa"/>
            </w:tcMar>
            <w:vAlign w:val="center"/>
          </w:tcPr>
          <w:p>
            <w:pPr>
              <w:pStyle w:val="TableContents"/>
              <w:bidi w:val="0"/>
              <w:spacing w:before="0" w:after="283"/>
              <w:ind w:left="0" w:right="0" w:hanging="158"/>
              <w:jc w:val="left"/>
              <w:rPr/>
            </w:pPr>
            <w:r>
              <w:rPr/>
              <w:t> </w:t>
            </w:r>
          </w:p>
        </w:tc>
      </w:tr>
      <w:tr>
        <w:trPr/>
        <w:tc>
          <w:tcPr>
            <w:tcW w:w="2209" w:type="dxa"/>
            <w:tcBorders/>
            <w:shd w:fill="CCEEFF" w:val="clear"/>
            <w:tcMar>
              <w:bottom w:w="0" w:type="dxa"/>
            </w:tcMar>
            <w:vAlign w:val="center"/>
          </w:tcPr>
          <w:p>
            <w:pPr>
              <w:pStyle w:val="TableContents"/>
              <w:bidi w:val="0"/>
              <w:spacing w:before="0" w:after="283"/>
              <w:jc w:val="left"/>
              <w:rPr/>
            </w:pPr>
            <w:r>
              <w:rPr/>
              <w:t>Interest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397,093</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424,937</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1.3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(27,844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-6.6</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(Gain) loss on sale of subsidiaries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(21,126</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-0.1</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right"/>
              <w:rPr/>
            </w:pPr>
            <w:r>
              <w:rPr/>
              <w:t>21,126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-100.0</w:t>
            </w:r>
          </w:p>
        </w:tc>
        <w:tc>
          <w:tcPr>
            <w:tcW w:w="171" w:type="dxa"/>
            <w:tcBorders/>
            <w:tcMar>
              <w:bottom w:w="0" w:type="dxa"/>
            </w:tcMar>
            <w:vAlign w:val="center"/>
          </w:tcPr>
          <w:p>
            <w:pPr>
              <w:pStyle w:val="TableContents"/>
              <w:bidi w:val="0"/>
              <w:spacing w:before="0" w:after="283"/>
              <w:ind w:left="0" w:right="0" w:hanging="158"/>
              <w:jc w:val="left"/>
              <w:rPr/>
            </w:pPr>
            <w:r>
              <w:rPr/>
              <w:t>%</w:t>
            </w:r>
          </w:p>
        </w:tc>
      </w:tr>
      <w:tr>
        <w:trPr/>
        <w:tc>
          <w:tcPr>
            <w:tcW w:w="2209" w:type="dxa"/>
            <w:tcBorders/>
            <w:shd w:fill="CCEEFF" w:val="clear"/>
            <w:tcMar>
              <w:bottom w:w="0" w:type="dxa"/>
            </w:tcMar>
            <w:vAlign w:val="center"/>
          </w:tcPr>
          <w:p>
            <w:pPr>
              <w:pStyle w:val="TableContents"/>
              <w:bidi w:val="0"/>
              <w:spacing w:before="0" w:after="283"/>
              <w:jc w:val="left"/>
              <w:rPr/>
            </w:pPr>
            <w:r>
              <w:rPr/>
              <w:t>(Gain) loss on sale of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0.0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(1,807,516</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-5.6</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85" w:type="dxa"/>
            <w:tcBorders/>
            <w:shd w:fill="CCEEFF" w:val="clear"/>
            <w:tcMar>
              <w:bottom w:w="0" w:type="dxa"/>
            </w:tcMar>
            <w:vAlign w:val="center"/>
          </w:tcPr>
          <w:p>
            <w:pPr>
              <w:pStyle w:val="TableContents"/>
              <w:bidi w:val="0"/>
              <w:spacing w:before="0" w:after="283"/>
              <w:jc w:val="right"/>
              <w:rPr/>
            </w:pPr>
            <w:r>
              <w:rPr/>
              <w:t>1,807,516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-100.0</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Other (income) expense</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w:t>
            </w:r>
          </w:p>
        </w:tc>
        <w:tc>
          <w:tcPr>
            <w:tcW w:w="1130" w:type="dxa"/>
            <w:tcBorders>
              <w:bottom w:val="single" w:sz="8" w:space="0" w:color="000000"/>
            </w:tcBorders>
            <w:vAlign w:val="center"/>
          </w:tcPr>
          <w:p>
            <w:pPr>
              <w:pStyle w:val="TableContents"/>
              <w:bidi w:val="0"/>
              <w:spacing w:before="0" w:after="283"/>
              <w:jc w:val="right"/>
              <w:rPr/>
            </w:pPr>
            <w:r>
              <w:rPr/>
              <w:t>(3,800</w:t>
            </w:r>
          </w:p>
        </w:tc>
        <w:tc>
          <w:tcPr>
            <w:tcW w:w="18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pPr>
            <w:r>
              <w:rPr/>
              <w:t>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w:t>
            </w:r>
          </w:p>
        </w:tc>
        <w:tc>
          <w:tcPr>
            <w:tcW w:w="1130" w:type="dxa"/>
            <w:tcBorders>
              <w:bottom w:val="single" w:sz="8" w:space="0" w:color="000000"/>
            </w:tcBorders>
            <w:vAlign w:val="center"/>
          </w:tcPr>
          <w:p>
            <w:pPr>
              <w:pStyle w:val="TableContents"/>
              <w:bidi w:val="0"/>
              <w:spacing w:before="0" w:after="283"/>
              <w:jc w:val="right"/>
              <w:rPr/>
            </w:pPr>
            <w:r>
              <w:rPr/>
              <w:t>(3,800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590" w:type="dxa"/>
            <w:tcBorders>
              <w:bottom w:val="single" w:sz="8" w:space="0" w:color="000000"/>
            </w:tcBorders>
            <w:vAlign w:val="center"/>
          </w:tcPr>
          <w:p>
            <w:pPr>
              <w:pStyle w:val="TableContents"/>
              <w:bidi w:val="0"/>
              <w:spacing w:before="0" w:after="283"/>
              <w:jc w:val="right"/>
              <w:rPr/>
            </w:pPr>
            <w:r>
              <w:rPr/>
              <w:t>0.0</w:t>
            </w:r>
          </w:p>
        </w:tc>
        <w:tc>
          <w:tcPr>
            <w:tcW w:w="24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vAlign w:val="center"/>
          </w:tcPr>
          <w:p>
            <w:pPr>
              <w:pStyle w:val="TableContents"/>
              <w:bidi w:val="0"/>
              <w:spacing w:before="0" w:after="283"/>
              <w:jc w:val="left"/>
              <w:rPr/>
            </w:pPr>
            <w:r>
              <w:rPr/>
              <w:t>$</w:t>
            </w:r>
          </w:p>
        </w:tc>
        <w:tc>
          <w:tcPr>
            <w:tcW w:w="1085" w:type="dxa"/>
            <w:tcBorders>
              <w:bottom w:val="single" w:sz="8"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vAlign w:val="center"/>
          </w:tcPr>
          <w:p>
            <w:pPr>
              <w:pStyle w:val="TableContents"/>
              <w:bidi w:val="0"/>
              <w:spacing w:before="0" w:after="283"/>
              <w:jc w:val="left"/>
              <w:rPr/>
            </w:pPr>
            <w:r>
              <w:rPr/>
              <w:t> </w:t>
            </w:r>
          </w:p>
        </w:tc>
        <w:tc>
          <w:tcPr>
            <w:tcW w:w="1009" w:type="dxa"/>
            <w:tcBorders>
              <w:bottom w:val="single" w:sz="8" w:space="0" w:color="000000"/>
            </w:tcBorders>
            <w:vAlign w:val="center"/>
          </w:tcPr>
          <w:p>
            <w:pPr>
              <w:pStyle w:val="TableContents"/>
              <w:bidi w:val="0"/>
              <w:spacing w:before="0" w:after="283"/>
              <w:jc w:val="right"/>
              <w:rPr/>
            </w:pPr>
            <w:r>
              <w:rPr/>
              <w:t>0.0</w:t>
            </w:r>
          </w:p>
        </w:tc>
        <w:tc>
          <w:tcPr>
            <w:tcW w:w="171" w:type="dxa"/>
            <w:tcBorders/>
            <w:tcMar>
              <w:bottom w:w="0" w:type="dxa"/>
            </w:tcMar>
            <w:vAlign w:val="center"/>
          </w:tcPr>
          <w:p>
            <w:pPr>
              <w:pStyle w:val="TableContents"/>
              <w:bidi w:val="0"/>
              <w:spacing w:before="0" w:after="283"/>
              <w:ind w:left="0" w:right="0" w:hanging="158"/>
              <w:jc w:val="left"/>
              <w:rPr/>
            </w:pPr>
            <w:r>
              <w:rPr/>
              <w:t>%</w:t>
            </w:r>
          </w:p>
        </w:tc>
      </w:tr>
      <w:tr>
        <w:trPr/>
        <w:tc>
          <w:tcPr>
            <w:tcW w:w="2209" w:type="dxa"/>
            <w:tcBorders/>
            <w:shd w:fill="CCEEFF" w:val="clear"/>
            <w:tcMar>
              <w:bottom w:w="0" w:type="dxa"/>
            </w:tcMar>
            <w:vAlign w:val="center"/>
          </w:tcPr>
          <w:p>
            <w:pPr>
              <w:pStyle w:val="TableContents"/>
              <w:bidi w:val="0"/>
              <w:spacing w:before="0" w:after="283"/>
              <w:jc w:val="left"/>
              <w:rPr/>
            </w:pPr>
            <w:r>
              <w:rPr/>
              <w:t>Total other (income) expense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c>
          <w:tcPr>
            <w:tcW w:w="1130" w:type="dxa"/>
            <w:tcBorders>
              <w:bottom w:val="single" w:sz="8" w:space="0" w:color="000000"/>
            </w:tcBorders>
            <w:shd w:fill="CCEEFF" w:val="clear"/>
            <w:vAlign w:val="center"/>
          </w:tcPr>
          <w:p>
            <w:pPr>
              <w:pStyle w:val="TableContents"/>
              <w:bidi w:val="0"/>
              <w:spacing w:before="0" w:after="283"/>
              <w:jc w:val="right"/>
              <w:rPr/>
            </w:pPr>
            <w:r>
              <w:rPr/>
              <w:t>393,293</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1.0</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c>
          <w:tcPr>
            <w:tcW w:w="1130" w:type="dxa"/>
            <w:tcBorders>
              <w:bottom w:val="single" w:sz="8" w:space="0" w:color="000000"/>
            </w:tcBorders>
            <w:shd w:fill="CCEEFF" w:val="clear"/>
            <w:vAlign w:val="center"/>
          </w:tcPr>
          <w:p>
            <w:pPr>
              <w:pStyle w:val="TableContents"/>
              <w:bidi w:val="0"/>
              <w:spacing w:before="0" w:after="283"/>
              <w:jc w:val="right"/>
              <w:rPr/>
            </w:pPr>
            <w:r>
              <w:rPr/>
              <w:t>(1,407,505</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8" w:space="0" w:color="000000"/>
            </w:tcBorders>
            <w:shd w:fill="CCEEFF" w:val="clear"/>
            <w:vAlign w:val="center"/>
          </w:tcPr>
          <w:p>
            <w:pPr>
              <w:pStyle w:val="TableContents"/>
              <w:bidi w:val="0"/>
              <w:spacing w:before="0" w:after="283"/>
              <w:jc w:val="left"/>
              <w:rPr/>
            </w:pPr>
            <w:r>
              <w:rPr/>
              <w:t> </w:t>
            </w:r>
          </w:p>
        </w:tc>
        <w:tc>
          <w:tcPr>
            <w:tcW w:w="590" w:type="dxa"/>
            <w:tcBorders>
              <w:bottom w:val="single" w:sz="8" w:space="0" w:color="000000"/>
            </w:tcBorders>
            <w:shd w:fill="CCEEFF" w:val="clear"/>
            <w:vAlign w:val="center"/>
          </w:tcPr>
          <w:p>
            <w:pPr>
              <w:pStyle w:val="TableContents"/>
              <w:bidi w:val="0"/>
              <w:spacing w:before="0" w:after="283"/>
              <w:jc w:val="right"/>
              <w:rPr/>
            </w:pPr>
            <w:r>
              <w:rPr/>
              <w:t>-4.4</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8" w:space="0" w:color="000000"/>
            </w:tcBorders>
            <w:shd w:fill="CCEEFF" w:val="clear"/>
            <w:vAlign w:val="center"/>
          </w:tcPr>
          <w:p>
            <w:pPr>
              <w:pStyle w:val="TableContents"/>
              <w:bidi w:val="0"/>
              <w:spacing w:before="0" w:after="283"/>
              <w:jc w:val="left"/>
              <w:rPr/>
            </w:pPr>
            <w:r>
              <w:rPr/>
              <w:t>$</w:t>
            </w:r>
          </w:p>
        </w:tc>
        <w:tc>
          <w:tcPr>
            <w:tcW w:w="1085" w:type="dxa"/>
            <w:tcBorders>
              <w:bottom w:val="single" w:sz="8" w:space="0" w:color="000000"/>
            </w:tcBorders>
            <w:shd w:fill="CCEEFF" w:val="clear"/>
            <w:vAlign w:val="center"/>
          </w:tcPr>
          <w:p>
            <w:pPr>
              <w:pStyle w:val="TableContents"/>
              <w:bidi w:val="0"/>
              <w:spacing w:before="0" w:after="283"/>
              <w:jc w:val="right"/>
              <w:rPr/>
            </w:pPr>
            <w:r>
              <w:rPr/>
              <w:t>1,800,798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009" w:type="dxa"/>
            <w:tcBorders>
              <w:bottom w:val="single" w:sz="8" w:space="0" w:color="000000"/>
            </w:tcBorders>
            <w:shd w:fill="CCEEFF" w:val="clear"/>
            <w:vAlign w:val="center"/>
          </w:tcPr>
          <w:p>
            <w:pPr>
              <w:pStyle w:val="TableContents"/>
              <w:bidi w:val="0"/>
              <w:spacing w:before="0" w:after="283"/>
              <w:jc w:val="right"/>
              <w:rPr/>
            </w:pPr>
            <w:r>
              <w:rPr/>
              <w:t>-127.9</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 </w:t>
            </w:r>
          </w:p>
        </w:tc>
        <w:tc>
          <w:tcPr>
            <w:tcW w:w="171" w:type="dxa"/>
            <w:tcBorders/>
            <w:tcMar>
              <w:bottom w:w="0" w:type="dxa"/>
            </w:tcMar>
            <w:vAlign w:val="center"/>
          </w:tcPr>
          <w:p>
            <w:pPr>
              <w:pStyle w:val="TableContents"/>
              <w:bidi w:val="0"/>
              <w:spacing w:before="0" w:after="283"/>
              <w:ind w:left="0" w:right="0" w:hanging="180"/>
              <w:jc w:val="left"/>
              <w:rPr/>
            </w:pPr>
            <w:r>
              <w:rPr/>
              <w:t> </w:t>
            </w:r>
          </w:p>
        </w:tc>
      </w:tr>
      <w:tr>
        <w:trPr/>
        <w:tc>
          <w:tcPr>
            <w:tcW w:w="2209" w:type="dxa"/>
            <w:tcBorders/>
            <w:shd w:fill="CCEEFF" w:val="clear"/>
            <w:tcMar>
              <w:bottom w:w="0" w:type="dxa"/>
            </w:tcMar>
            <w:vAlign w:val="center"/>
          </w:tcPr>
          <w:p>
            <w:pPr>
              <w:pStyle w:val="TableContents"/>
              <w:bidi w:val="0"/>
              <w:spacing w:before="0" w:after="283"/>
              <w:jc w:val="left"/>
              <w:rPr/>
            </w:pPr>
            <w:r>
              <w:rPr/>
              <w:t>Net income (loss) from continuing operations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1130" w:type="dxa"/>
            <w:tcBorders>
              <w:bottom w:val="double" w:sz="6" w:space="0" w:color="000000"/>
            </w:tcBorders>
            <w:shd w:fill="CCEEFF" w:val="clear"/>
            <w:vAlign w:val="center"/>
          </w:tcPr>
          <w:p>
            <w:pPr>
              <w:pStyle w:val="TableContents"/>
              <w:bidi w:val="0"/>
              <w:spacing w:before="0" w:after="283"/>
              <w:jc w:val="right"/>
              <w:rPr/>
            </w:pPr>
            <w:r>
              <w:rPr/>
              <w:t>(371,926</w:t>
            </w:r>
          </w:p>
        </w:tc>
        <w:tc>
          <w:tcPr>
            <w:tcW w:w="18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6" w:space="0" w:color="000000"/>
            </w:tcBorders>
            <w:shd w:fill="CCEEFF" w:val="clear"/>
            <w:vAlign w:val="center"/>
          </w:tcPr>
          <w:p>
            <w:pPr>
              <w:pStyle w:val="TableContents"/>
              <w:bidi w:val="0"/>
              <w:spacing w:before="0" w:after="283"/>
              <w:jc w:val="left"/>
              <w:rPr/>
            </w:pPr>
            <w:r>
              <w:rPr/>
              <w:t> </w:t>
            </w:r>
          </w:p>
        </w:tc>
        <w:tc>
          <w:tcPr>
            <w:tcW w:w="590" w:type="dxa"/>
            <w:tcBorders>
              <w:bottom w:val="double" w:sz="6" w:space="0" w:color="000000"/>
            </w:tcBorders>
            <w:shd w:fill="CCEEFF" w:val="clear"/>
            <w:vAlign w:val="center"/>
          </w:tcPr>
          <w:p>
            <w:pPr>
              <w:pStyle w:val="TableContents"/>
              <w:bidi w:val="0"/>
              <w:spacing w:before="0" w:after="283"/>
              <w:jc w:val="right"/>
              <w:rPr/>
            </w:pPr>
            <w:r>
              <w:rPr/>
              <w:t>-0.9</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1130" w:type="dxa"/>
            <w:tcBorders>
              <w:bottom w:val="double" w:sz="6" w:space="0" w:color="000000"/>
            </w:tcBorders>
            <w:shd w:fill="CCEEFF" w:val="clear"/>
            <w:vAlign w:val="center"/>
          </w:tcPr>
          <w:p>
            <w:pPr>
              <w:pStyle w:val="TableContents"/>
              <w:bidi w:val="0"/>
              <w:spacing w:before="0" w:after="283"/>
              <w:jc w:val="right"/>
              <w:rPr/>
            </w:pPr>
            <w:r>
              <w:rPr/>
              <w:t>1,381,185</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6" w:space="0" w:color="000000"/>
            </w:tcBorders>
            <w:shd w:fill="CCEEFF" w:val="clear"/>
            <w:vAlign w:val="center"/>
          </w:tcPr>
          <w:p>
            <w:pPr>
              <w:pStyle w:val="TableContents"/>
              <w:bidi w:val="0"/>
              <w:spacing w:before="0" w:after="283"/>
              <w:jc w:val="left"/>
              <w:rPr/>
            </w:pPr>
            <w:r>
              <w:rPr/>
              <w:t> </w:t>
            </w:r>
          </w:p>
        </w:tc>
        <w:tc>
          <w:tcPr>
            <w:tcW w:w="590" w:type="dxa"/>
            <w:tcBorders>
              <w:bottom w:val="double" w:sz="6" w:space="0" w:color="000000"/>
            </w:tcBorders>
            <w:shd w:fill="CCEEFF" w:val="clear"/>
            <w:vAlign w:val="center"/>
          </w:tcPr>
          <w:p>
            <w:pPr>
              <w:pStyle w:val="TableContents"/>
              <w:bidi w:val="0"/>
              <w:spacing w:before="0" w:after="283"/>
              <w:jc w:val="right"/>
              <w:rPr/>
            </w:pPr>
            <w:r>
              <w:rPr/>
              <w:t>4.3</w:t>
            </w:r>
          </w:p>
        </w:tc>
        <w:tc>
          <w:tcPr>
            <w:tcW w:w="24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vAlign w:val="center"/>
          </w:tcPr>
          <w:p>
            <w:pPr>
              <w:pStyle w:val="TableContents"/>
              <w:bidi w:val="0"/>
              <w:spacing w:before="0" w:after="283"/>
              <w:jc w:val="left"/>
              <w:rPr/>
            </w:pPr>
            <w:r>
              <w:rPr/>
              <w:t>$</w:t>
            </w:r>
          </w:p>
        </w:tc>
        <w:tc>
          <w:tcPr>
            <w:tcW w:w="1085" w:type="dxa"/>
            <w:tcBorders>
              <w:bottom w:val="double" w:sz="6" w:space="0" w:color="000000"/>
            </w:tcBorders>
            <w:shd w:fill="CCEEFF" w:val="clear"/>
            <w:vAlign w:val="center"/>
          </w:tcPr>
          <w:p>
            <w:pPr>
              <w:pStyle w:val="TableContents"/>
              <w:bidi w:val="0"/>
              <w:spacing w:before="0" w:after="283"/>
              <w:jc w:val="right"/>
              <w:rPr/>
            </w:pPr>
            <w:r>
              <w:rPr/>
              <w:t>(1,753,111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double" w:sz="6" w:space="0" w:color="000000"/>
            </w:tcBorders>
            <w:shd w:fill="CCEEFF" w:val="clear"/>
            <w:vAlign w:val="center"/>
          </w:tcPr>
          <w:p>
            <w:pPr>
              <w:pStyle w:val="TableContents"/>
              <w:bidi w:val="0"/>
              <w:spacing w:before="0" w:after="283"/>
              <w:jc w:val="left"/>
              <w:rPr/>
            </w:pPr>
            <w:r>
              <w:rPr/>
              <w:t> </w:t>
            </w:r>
          </w:p>
        </w:tc>
        <w:tc>
          <w:tcPr>
            <w:tcW w:w="1009" w:type="dxa"/>
            <w:tcBorders>
              <w:bottom w:val="double" w:sz="6" w:space="0" w:color="000000"/>
            </w:tcBorders>
            <w:shd w:fill="CCEEFF" w:val="clear"/>
            <w:vAlign w:val="center"/>
          </w:tcPr>
          <w:p>
            <w:pPr>
              <w:pStyle w:val="TableContents"/>
              <w:bidi w:val="0"/>
              <w:spacing w:before="0" w:after="283"/>
              <w:jc w:val="right"/>
              <w:rPr/>
            </w:pPr>
            <w:r>
              <w:rPr/>
              <w:t>-126.9</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w:t>
            </w:r>
          </w:p>
        </w:tc>
      </w:tr>
      <w:tr>
        <w:trPr/>
        <w:tc>
          <w:tcPr>
            <w:tcW w:w="220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(1.00</w:t>
            </w:r>
          </w:p>
        </w:tc>
        <w:tc>
          <w:tcPr>
            <w:tcW w:w="125" w:type="dxa"/>
            <w:tcBorders/>
            <w:tcMar>
              <w:bottom w:w="0" w:type="dxa"/>
            </w:tcMar>
            <w:vAlign w:val="center"/>
          </w:tcPr>
          <w:p>
            <w:pPr>
              <w:pStyle w:val="TableContents"/>
              <w:bidi w:val="0"/>
              <w:spacing w:before="0" w:after="283"/>
              <w:jc w:val="lef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 </w:t>
            </w:r>
          </w:p>
        </w:tc>
        <w:tc>
          <w:tcPr>
            <w:tcW w:w="171" w:type="dxa"/>
            <w:tcBorders/>
            <w:tcMar>
              <w:bottom w:w="0" w:type="dxa"/>
            </w:tcMar>
            <w:vAlign w:val="center"/>
          </w:tcPr>
          <w:p>
            <w:pPr>
              <w:pStyle w:val="TableContents"/>
              <w:bidi w:val="0"/>
              <w:spacing w:before="0" w:after="283"/>
              <w:ind w:left="0" w:right="0" w:hanging="158"/>
              <w:jc w:val="left"/>
              <w:rPr/>
            </w:pPr>
            <w:r>
              <w:rPr/>
              <w:t> </w:t>
            </w:r>
          </w:p>
        </w:tc>
      </w:tr>
      <w:tr>
        <w:trPr/>
        <w:tc>
          <w:tcPr>
            <w:tcW w:w="2209" w:type="dxa"/>
            <w:tcBorders/>
            <w:shd w:fill="CCEEFF" w:val="clear"/>
            <w:tcMar>
              <w:bottom w:w="0" w:type="dxa"/>
            </w:tcMar>
            <w:vAlign w:val="center"/>
          </w:tcPr>
          <w:p>
            <w:pPr>
              <w:pStyle w:val="TableContents"/>
              <w:bidi w:val="0"/>
              <w:spacing w:before="0" w:after="283"/>
              <w:jc w:val="left"/>
              <w:rPr/>
            </w:pPr>
            <w:r>
              <w:rPr/>
              <w:t>Other segment disclosures: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 </w:t>
            </w:r>
          </w:p>
        </w:tc>
        <w:tc>
          <w:tcPr>
            <w:tcW w:w="171" w:type="dxa"/>
            <w:tcBorders/>
            <w:shd w:fill="CCEEFF" w:val="clear"/>
            <w:tcMar>
              <w:bottom w:w="0" w:type="dxa"/>
            </w:tcMar>
            <w:vAlign w:val="center"/>
          </w:tcPr>
          <w:p>
            <w:pPr>
              <w:pStyle w:val="TableContents"/>
              <w:bidi w:val="0"/>
              <w:spacing w:before="0" w:after="283"/>
              <w:ind w:left="0" w:right="0" w:hanging="158"/>
              <w:jc w:val="left"/>
              <w:rPr/>
            </w:pPr>
            <w:r>
              <w:rPr/>
              <w:t> </w:t>
            </w:r>
          </w:p>
        </w:tc>
      </w:tr>
      <w:tr>
        <w:trPr/>
        <w:tc>
          <w:tcPr>
            <w:tcW w:w="2209" w:type="dxa"/>
            <w:tcBorders/>
            <w:tcMar>
              <w:bottom w:w="0" w:type="dxa"/>
            </w:tcMar>
            <w:vAlign w:val="center"/>
          </w:tcPr>
          <w:p>
            <w:pPr>
              <w:pStyle w:val="TableContents"/>
              <w:bidi w:val="0"/>
              <w:spacing w:before="0" w:after="283"/>
              <w:jc w:val="left"/>
              <w:rPr/>
            </w:pPr>
            <w:r>
              <w:rPr/>
              <w:t>Segment assets</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23,973,770</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right"/>
              <w:rPr/>
            </w:pPr>
            <w:r>
              <w:rPr/>
              <w:t>19,049,823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 </w:t>
            </w:r>
          </w:p>
        </w:tc>
        <w:tc>
          <w:tcPr>
            <w:tcW w:w="2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6" w:type="dxa"/>
            <w:tcBorders/>
            <w:tcMar>
              <w:bottom w:w="0" w:type="dxa"/>
            </w:tcMar>
            <w:vAlign w:val="center"/>
          </w:tcPr>
          <w:p>
            <w:pPr>
              <w:pStyle w:val="TableContents"/>
              <w:bidi w:val="0"/>
              <w:spacing w:before="0" w:after="283"/>
              <w:jc w:val="left"/>
              <w:rPr/>
            </w:pPr>
            <w:r>
              <w:rPr/>
              <w:t> </w:t>
            </w:r>
          </w:p>
        </w:tc>
        <w:tc>
          <w:tcPr>
            <w:tcW w:w="1009" w:type="dxa"/>
            <w:tcBorders/>
            <w:tcMar>
              <w:bottom w:w="0" w:type="dxa"/>
            </w:tcMar>
            <w:vAlign w:val="center"/>
          </w:tcPr>
          <w:p>
            <w:pPr>
              <w:pStyle w:val="TableContents"/>
              <w:bidi w:val="0"/>
              <w:spacing w:before="0" w:after="283"/>
              <w:jc w:val="right"/>
              <w:rPr/>
            </w:pPr>
            <w:r>
              <w:rPr/>
              <w:t> </w:t>
            </w:r>
          </w:p>
        </w:tc>
        <w:tc>
          <w:tcPr>
            <w:tcW w:w="171" w:type="dxa"/>
            <w:tcBorders/>
            <w:tcMar>
              <w:bottom w:w="0" w:type="dxa"/>
            </w:tcMar>
            <w:vAlign w:val="center"/>
          </w:tcPr>
          <w:p>
            <w:pPr>
              <w:pStyle w:val="TableContents"/>
              <w:bidi w:val="0"/>
              <w:spacing w:before="0" w:after="283"/>
              <w:ind w:left="0" w:right="0" w:hanging="158"/>
              <w:jc w:val="left"/>
              <w:rPr/>
            </w:pPr>
            <w:r>
              <w:rPr/>
              <w:t> </w:t>
            </w:r>
          </w:p>
        </w:tc>
      </w:tr>
      <w:tr>
        <w:trPr/>
        <w:tc>
          <w:tcPr>
            <w:tcW w:w="2209" w:type="dxa"/>
            <w:tcBorders/>
            <w:shd w:fill="CCEEFF" w:val="clear"/>
            <w:tcMar>
              <w:bottom w:w="0" w:type="dxa"/>
            </w:tcMar>
            <w:vAlign w:val="center"/>
          </w:tcPr>
          <w:p>
            <w:pPr>
              <w:pStyle w:val="TableContents"/>
              <w:bidi w:val="0"/>
              <w:spacing w:before="0" w:after="283"/>
              <w:jc w:val="left"/>
              <w:rPr/>
            </w:pPr>
            <w:r>
              <w:rPr/>
              <w:t>Expenditures for segment assets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208,886</w:t>
            </w:r>
          </w:p>
        </w:tc>
        <w:tc>
          <w:tcPr>
            <w:tcW w:w="18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1,406</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8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4"/>
        <w:gridCol w:w="90"/>
        <w:gridCol w:w="170"/>
        <w:gridCol w:w="1130"/>
        <w:gridCol w:w="185"/>
        <w:gridCol w:w="90"/>
        <w:gridCol w:w="90"/>
        <w:gridCol w:w="590"/>
        <w:gridCol w:w="245"/>
        <w:gridCol w:w="90"/>
        <w:gridCol w:w="170"/>
        <w:gridCol w:w="1130"/>
        <w:gridCol w:w="125"/>
        <w:gridCol w:w="90"/>
        <w:gridCol w:w="90"/>
        <w:gridCol w:w="590"/>
        <w:gridCol w:w="245"/>
        <w:gridCol w:w="90"/>
        <w:gridCol w:w="170"/>
        <w:gridCol w:w="1010"/>
        <w:gridCol w:w="125"/>
        <w:gridCol w:w="90"/>
        <w:gridCol w:w="94"/>
        <w:gridCol w:w="696"/>
        <w:gridCol w:w="296"/>
      </w:tblGrid>
      <w:tr>
        <w:trPr/>
        <w:tc>
          <w:tcPr>
            <w:tcW w:w="2514" w:type="dxa"/>
            <w:tcBorders/>
            <w:vAlign w:val="center"/>
          </w:tcPr>
          <w:p>
            <w:pPr>
              <w:pStyle w:val="TableContents"/>
              <w:bidi w:val="0"/>
              <w:spacing w:before="0" w:after="283"/>
              <w:ind w:left="0" w:right="0" w:hanging="158"/>
              <w:jc w:val="left"/>
              <w:rPr/>
            </w:pPr>
            <w:r>
              <w:rPr/>
              <w:t> </w:t>
            </w:r>
          </w:p>
        </w:tc>
        <w:tc>
          <w:tcPr>
            <w:tcW w:w="90" w:type="dxa"/>
            <w:tcBorders/>
            <w:vAlign w:val="center"/>
          </w:tcPr>
          <w:p>
            <w:pPr>
              <w:pStyle w:val="TableContents"/>
              <w:bidi w:val="0"/>
              <w:spacing w:before="0" w:after="283"/>
              <w:jc w:val="left"/>
              <w:rPr/>
            </w:pPr>
            <w:r>
              <w:rPr/>
              <w:t> </w:t>
            </w:r>
          </w:p>
        </w:tc>
        <w:tc>
          <w:tcPr>
            <w:tcW w:w="2500" w:type="dxa"/>
            <w:gridSpan w:val="7"/>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440" w:type="dxa"/>
            <w:gridSpan w:val="7"/>
            <w:tcBorders/>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305"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6" w:type="dxa"/>
            <w:gridSpan w:val="3"/>
            <w:tcBorders/>
            <w:vAlign w:val="center"/>
          </w:tcPr>
          <w:p>
            <w:pPr>
              <w:pStyle w:val="TableContents"/>
              <w:bidi w:val="0"/>
              <w:spacing w:before="0" w:after="283"/>
              <w:ind w:left="0" w:right="0" w:hanging="158"/>
              <w:jc w:val="left"/>
              <w:rPr/>
            </w:pPr>
            <w:r>
              <w:rPr/>
              <w:t> </w:t>
            </w:r>
          </w:p>
        </w:tc>
      </w:tr>
      <w:tr>
        <w:trPr/>
        <w:tc>
          <w:tcPr>
            <w:tcW w:w="2514" w:type="dxa"/>
            <w:tcBorders>
              <w:bottom w:val="single" w:sz="8" w:space="0" w:color="000000"/>
            </w:tcBorders>
            <w:tcMar>
              <w:bottom w:w="28" w:type="dxa"/>
            </w:tcMar>
            <w:vAlign w:val="center"/>
          </w:tcPr>
          <w:p>
            <w:pPr>
              <w:pStyle w:val="TableContents"/>
              <w:bidi w:val="0"/>
              <w:spacing w:before="0" w:after="283"/>
              <w:jc w:val="left"/>
              <w:rPr>
                <w:b/>
              </w:rPr>
            </w:pPr>
            <w:r>
              <w:rPr>
                <w:b/>
              </w:rPr>
              <w:t>3 Months</w:t>
            </w:r>
          </w:p>
        </w:tc>
        <w:tc>
          <w:tcPr>
            <w:tcW w:w="90" w:type="dxa"/>
            <w:tcBorders/>
            <w:vAlign w:val="center"/>
          </w:tcPr>
          <w:p>
            <w:pPr>
              <w:pStyle w:val="TableContents"/>
              <w:bidi w:val="0"/>
              <w:spacing w:before="0" w:after="283"/>
              <w:jc w:val="left"/>
              <w:rPr/>
            </w:pPr>
            <w:r>
              <w:rPr/>
              <w:t> </w:t>
            </w:r>
          </w:p>
        </w:tc>
        <w:tc>
          <w:tcPr>
            <w:tcW w:w="250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244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1305"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6" w:type="dxa"/>
            <w:gridSpan w:val="3"/>
            <w:tcBorders/>
            <w:vAlign w:val="center"/>
          </w:tcPr>
          <w:p>
            <w:pPr>
              <w:pStyle w:val="TableContents"/>
              <w:bidi w:val="0"/>
              <w:spacing w:before="0" w:after="283"/>
              <w:ind w:left="0" w:right="0" w:hanging="158"/>
              <w:jc w:val="left"/>
              <w:rPr/>
            </w:pPr>
            <w:r>
              <w:rPr/>
              <w:t> </w:t>
            </w:r>
          </w:p>
        </w:tc>
      </w:tr>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14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2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13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0" w:type="dxa"/>
            <w:tcBorders/>
            <w:vAlign w:val="center"/>
          </w:tcPr>
          <w:p>
            <w:pPr>
              <w:pStyle w:val="TableContents"/>
              <w:bidi w:val="0"/>
              <w:spacing w:before="0" w:after="283"/>
              <w:jc w:val="left"/>
              <w:rPr/>
            </w:pPr>
            <w:r>
              <w:rPr/>
              <w:t> </w:t>
            </w:r>
          </w:p>
        </w:tc>
        <w:tc>
          <w:tcPr>
            <w:tcW w:w="1086" w:type="dxa"/>
            <w:gridSpan w:val="3"/>
            <w:tcBorders>
              <w:bottom w:val="single" w:sz="8" w:space="0" w:color="000000"/>
            </w:tcBorders>
            <w:tcMar>
              <w:bottom w:w="28" w:type="dxa"/>
            </w:tcMar>
            <w:vAlign w:val="center"/>
          </w:tcPr>
          <w:p>
            <w:pPr>
              <w:pStyle w:val="TableContents"/>
              <w:bidi w:val="0"/>
              <w:spacing w:before="0" w:after="283"/>
              <w:ind w:left="0" w:right="0" w:hanging="158"/>
              <w:jc w:val="center"/>
              <w:rPr>
                <w:b/>
              </w:rPr>
            </w:pPr>
            <w:r>
              <w:rPr>
                <w:b/>
              </w:rPr>
              <w:t>% Change</w:t>
            </w:r>
          </w:p>
        </w:tc>
      </w:tr>
      <w:tr>
        <w:trPr/>
        <w:tc>
          <w:tcPr>
            <w:tcW w:w="2514" w:type="dxa"/>
            <w:tcBorders/>
            <w:vAlign w:val="center"/>
          </w:tcPr>
          <w:p>
            <w:pPr>
              <w:pStyle w:val="TableContents"/>
              <w:bidi w:val="0"/>
              <w:spacing w:before="0" w:after="283"/>
              <w:jc w:val="left"/>
              <w:rPr/>
            </w:pPr>
            <w:r>
              <w:rPr/>
              <w:t>Revenue:</w:t>
            </w:r>
          </w:p>
        </w:tc>
        <w:tc>
          <w:tcPr>
            <w:tcW w:w="90" w:type="dxa"/>
            <w:tcBorders/>
            <w:vAlign w:val="center"/>
          </w:tcPr>
          <w:p>
            <w:pPr>
              <w:pStyle w:val="TableContents"/>
              <w:bidi w:val="0"/>
              <w:spacing w:before="0" w:after="283"/>
              <w:jc w:val="left"/>
              <w:rPr/>
            </w:pPr>
            <w:r>
              <w:rPr/>
              <w:t> </w:t>
            </w:r>
          </w:p>
        </w:tc>
        <w:tc>
          <w:tcPr>
            <w:tcW w:w="1485"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5"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5"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5"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5" w:type="dxa"/>
            <w:gridSpan w:val="3"/>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6" w:type="dxa"/>
            <w:gridSpan w:val="3"/>
            <w:tcBorders/>
            <w:vAlign w:val="center"/>
          </w:tcPr>
          <w:p>
            <w:pPr>
              <w:pStyle w:val="TableContents"/>
              <w:bidi w:val="0"/>
              <w:spacing w:before="0" w:after="283"/>
              <w:ind w:left="0" w:right="0" w:hanging="158"/>
              <w:jc w:val="left"/>
              <w:rPr/>
            </w:pPr>
            <w:r>
              <w:rPr/>
              <w:t> </w:t>
            </w:r>
          </w:p>
        </w:tc>
      </w:tr>
      <w:tr>
        <w:trPr/>
        <w:tc>
          <w:tcPr>
            <w:tcW w:w="2514" w:type="dxa"/>
            <w:tcBorders/>
            <w:shd w:fill="CCEEFF" w:val="clear"/>
            <w:vAlign w:val="center"/>
          </w:tcPr>
          <w:p>
            <w:pPr>
              <w:pStyle w:val="TableContents"/>
              <w:bidi w:val="0"/>
              <w:spacing w:before="0" w:after="283"/>
              <w:jc w:val="left"/>
              <w:rPr/>
            </w:pPr>
            <w:r>
              <w:rPr/>
              <w:t>Digital Channels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9,046,593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42.9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9,513,381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57.2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(466,788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-4.9</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National distribution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7,623,154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36.1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3,122,801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18.8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4,500,353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144.1</w:t>
            </w:r>
          </w:p>
        </w:tc>
        <w:tc>
          <w:tcPr>
            <w:tcW w:w="296" w:type="dxa"/>
            <w:tcBorders/>
            <w:vAlign w:val="center"/>
          </w:tcPr>
          <w:p>
            <w:pPr>
              <w:pStyle w:val="TableContents"/>
              <w:bidi w:val="0"/>
              <w:spacing w:before="0" w:after="283"/>
              <w:ind w:left="0" w:right="0" w:hanging="158"/>
              <w:jc w:val="left"/>
              <w:rPr/>
            </w:pPr>
            <w:r>
              <w:rPr/>
              <w:t>%</w:t>
            </w:r>
          </w:p>
        </w:tc>
      </w:tr>
      <w:tr>
        <w:trPr/>
        <w:tc>
          <w:tcPr>
            <w:tcW w:w="2514" w:type="dxa"/>
            <w:tcBorders/>
            <w:shd w:fill="CCEEFF" w:val="clear"/>
            <w:vAlign w:val="center"/>
          </w:tcPr>
          <w:p>
            <w:pPr>
              <w:pStyle w:val="TableContents"/>
              <w:bidi w:val="0"/>
              <w:spacing w:before="0" w:after="283"/>
              <w:jc w:val="left"/>
              <w:rPr/>
            </w:pPr>
            <w:r>
              <w:rPr/>
              <w:t>Local distribution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4,232,711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2,822,053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17.0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1,410,658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50.0</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Direct to consumer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916,797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(916,797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-100.0</w:t>
            </w:r>
          </w:p>
        </w:tc>
        <w:tc>
          <w:tcPr>
            <w:tcW w:w="296" w:type="dxa"/>
            <w:tcBorders/>
            <w:vAlign w:val="center"/>
          </w:tcPr>
          <w:p>
            <w:pPr>
              <w:pStyle w:val="TableContents"/>
              <w:bidi w:val="0"/>
              <w:spacing w:before="0" w:after="283"/>
              <w:ind w:left="0" w:right="0" w:hanging="158"/>
              <w:jc w:val="left"/>
              <w:rPr/>
            </w:pPr>
            <w:r>
              <w:rPr/>
              <w:t>%</w:t>
            </w:r>
          </w:p>
        </w:tc>
      </w:tr>
      <w:tr>
        <w:trPr/>
        <w:tc>
          <w:tcPr>
            <w:tcW w:w="2514" w:type="dxa"/>
            <w:tcBorders/>
            <w:shd w:fill="CCEEFF" w:val="clear"/>
            <w:vAlign w:val="center"/>
          </w:tcPr>
          <w:p>
            <w:pPr>
              <w:pStyle w:val="TableContents"/>
              <w:bidi w:val="0"/>
              <w:spacing w:before="0" w:after="283"/>
              <w:jc w:val="left"/>
              <w:rPr/>
            </w:pPr>
            <w:r>
              <w:rPr/>
              <w:t>Other services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200,676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249,257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(48,581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6" w:type="dxa"/>
            <w:tcBorders>
              <w:bottom w:val="single" w:sz="8" w:space="0" w:color="000000"/>
            </w:tcBorders>
            <w:shd w:fill="CCEEFF" w:val="clear"/>
            <w:tcMar>
              <w:bottom w:w="28" w:type="dxa"/>
            </w:tcMar>
            <w:vAlign w:val="center"/>
          </w:tcPr>
          <w:p>
            <w:pPr>
              <w:pStyle w:val="TableContents"/>
              <w:bidi w:val="0"/>
              <w:spacing w:before="0" w:after="283"/>
              <w:jc w:val="right"/>
              <w:rPr/>
            </w:pPr>
            <w:r>
              <w:rPr/>
              <w:t>-19.5</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Total revenue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21,103,134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100.0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16,624,289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100.0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4,478,845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26.9</w:t>
            </w:r>
          </w:p>
        </w:tc>
        <w:tc>
          <w:tcPr>
            <w:tcW w:w="296" w:type="dxa"/>
            <w:tcBorders/>
            <w:vAlign w:val="center"/>
          </w:tcPr>
          <w:p>
            <w:pPr>
              <w:pStyle w:val="TableContents"/>
              <w:bidi w:val="0"/>
              <w:spacing w:before="0" w:after="283"/>
              <w:ind w:left="0" w:right="0" w:hanging="158"/>
              <w:jc w:val="left"/>
              <w:rPr/>
            </w:pPr>
            <w:r>
              <w:rPr/>
              <w:t>%</w:t>
            </w:r>
          </w:p>
        </w:tc>
      </w:tr>
      <w:tr>
        <w:trPr/>
        <w:tc>
          <w:tcPr>
            <w:tcW w:w="25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ind w:left="0" w:right="0" w:hanging="158"/>
              <w:jc w:val="left"/>
              <w:rPr/>
            </w:pPr>
            <w:r>
              <w:rPr/>
              <w:t> </w:t>
            </w:r>
          </w:p>
        </w:tc>
      </w:tr>
      <w:tr>
        <w:trPr/>
        <w:tc>
          <w:tcPr>
            <w:tcW w:w="2514"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16,669,281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79.0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12,642,401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76.0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4,026,880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bottom w:val="single" w:sz="8" w:space="0" w:color="000000"/>
            </w:tcBorders>
            <w:tcMar>
              <w:bottom w:w="28" w:type="dxa"/>
            </w:tcMar>
            <w:vAlign w:val="center"/>
          </w:tcPr>
          <w:p>
            <w:pPr>
              <w:pStyle w:val="TableContents"/>
              <w:bidi w:val="0"/>
              <w:spacing w:before="0" w:after="283"/>
              <w:jc w:val="left"/>
              <w:rPr/>
            </w:pPr>
            <w:r>
              <w:rPr/>
              <w:t> </w:t>
            </w:r>
          </w:p>
        </w:tc>
        <w:tc>
          <w:tcPr>
            <w:tcW w:w="696" w:type="dxa"/>
            <w:tcBorders>
              <w:bottom w:val="single" w:sz="8" w:space="0" w:color="000000"/>
            </w:tcBorders>
            <w:tcMar>
              <w:bottom w:w="28" w:type="dxa"/>
            </w:tcMar>
            <w:vAlign w:val="center"/>
          </w:tcPr>
          <w:p>
            <w:pPr>
              <w:pStyle w:val="TableContents"/>
              <w:bidi w:val="0"/>
              <w:spacing w:before="0" w:after="283"/>
              <w:jc w:val="right"/>
              <w:rPr/>
            </w:pPr>
            <w:r>
              <w:rPr/>
              <w:t>31.9</w:t>
            </w:r>
          </w:p>
        </w:tc>
        <w:tc>
          <w:tcPr>
            <w:tcW w:w="296" w:type="dxa"/>
            <w:tcBorders/>
            <w:vAlign w:val="center"/>
          </w:tcPr>
          <w:p>
            <w:pPr>
              <w:pStyle w:val="TableContents"/>
              <w:bidi w:val="0"/>
              <w:spacing w:before="0" w:after="283"/>
              <w:ind w:left="0" w:right="0" w:hanging="158"/>
              <w:jc w:val="left"/>
              <w:rPr/>
            </w:pPr>
            <w:r>
              <w:rPr/>
              <w:t>%</w:t>
            </w:r>
          </w:p>
        </w:tc>
      </w:tr>
      <w:tr>
        <w:trPr/>
        <w:tc>
          <w:tcPr>
            <w:tcW w:w="2514"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4,433,853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21.0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3,981,888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24.0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451,965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11.4</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ind w:left="0" w:right="0" w:hanging="158"/>
              <w:jc w:val="left"/>
              <w:rPr/>
            </w:pPr>
            <w:r>
              <w:rPr/>
              <w:t> </w:t>
            </w:r>
          </w:p>
        </w:tc>
      </w:tr>
      <w:tr>
        <w:trPr/>
        <w:tc>
          <w:tcPr>
            <w:tcW w:w="2514" w:type="dxa"/>
            <w:tcBorders/>
            <w:shd w:fill="CCEEFF" w:val="clear"/>
            <w:vAlign w:val="center"/>
          </w:tcPr>
          <w:p>
            <w:pPr>
              <w:pStyle w:val="TableContents"/>
              <w:bidi w:val="0"/>
              <w:spacing w:before="0" w:after="283"/>
              <w:jc w:val="left"/>
              <w:rPr/>
            </w:pPr>
            <w:r>
              <w:rPr/>
              <w:t>Cash OpEx:</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ind w:left="0" w:right="0" w:hanging="158"/>
              <w:jc w:val="left"/>
              <w:rPr/>
            </w:pPr>
            <w:r>
              <w:rPr/>
              <w:t> </w:t>
            </w:r>
          </w:p>
        </w:tc>
      </w:tr>
      <w:tr>
        <w:trPr/>
        <w:tc>
          <w:tcPr>
            <w:tcW w:w="2514" w:type="dxa"/>
            <w:tcBorders/>
            <w:vAlign w:val="center"/>
          </w:tcPr>
          <w:p>
            <w:pPr>
              <w:pStyle w:val="TableContents"/>
              <w:bidi w:val="0"/>
              <w:spacing w:before="0" w:after="283"/>
              <w:jc w:val="left"/>
              <w:rPr/>
            </w:pPr>
            <w:r>
              <w:rPr/>
              <w:t>Payroll &amp; related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2,987,183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14.2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2,329,062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14.0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658,121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28.3</w:t>
            </w:r>
          </w:p>
        </w:tc>
        <w:tc>
          <w:tcPr>
            <w:tcW w:w="296" w:type="dxa"/>
            <w:tcBorders/>
            <w:vAlign w:val="center"/>
          </w:tcPr>
          <w:p>
            <w:pPr>
              <w:pStyle w:val="TableContents"/>
              <w:bidi w:val="0"/>
              <w:spacing w:before="0" w:after="283"/>
              <w:ind w:left="0" w:right="0" w:hanging="158"/>
              <w:jc w:val="left"/>
              <w:rPr/>
            </w:pPr>
            <w:r>
              <w:rPr/>
              <w:t>%</w:t>
            </w:r>
          </w:p>
        </w:tc>
      </w:tr>
      <w:tr>
        <w:trPr/>
        <w:tc>
          <w:tcPr>
            <w:tcW w:w="2514" w:type="dxa"/>
            <w:tcBorders/>
            <w:shd w:fill="CCEEFF" w:val="clear"/>
            <w:vAlign w:val="center"/>
          </w:tcPr>
          <w:p>
            <w:pPr>
              <w:pStyle w:val="TableContents"/>
              <w:bidi w:val="0"/>
              <w:spacing w:before="0" w:after="283"/>
              <w:jc w:val="left"/>
              <w:rPr/>
            </w:pPr>
            <w:r>
              <w:rPr/>
              <w:t>Computer and 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102,608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90,639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11,969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13.2</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Office, facility, vehicles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540,292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205,078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335,214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163.5</w:t>
            </w:r>
          </w:p>
        </w:tc>
        <w:tc>
          <w:tcPr>
            <w:tcW w:w="296" w:type="dxa"/>
            <w:tcBorders/>
            <w:vAlign w:val="center"/>
          </w:tcPr>
          <w:p>
            <w:pPr>
              <w:pStyle w:val="TableContents"/>
              <w:bidi w:val="0"/>
              <w:spacing w:before="0" w:after="283"/>
              <w:ind w:left="0" w:right="0" w:hanging="158"/>
              <w:jc w:val="left"/>
              <w:rPr/>
            </w:pPr>
            <w:r>
              <w:rPr/>
              <w:t>%</w:t>
            </w:r>
          </w:p>
        </w:tc>
      </w:tr>
      <w:tr>
        <w:trPr/>
        <w:tc>
          <w:tcPr>
            <w:tcW w:w="2514" w:type="dxa"/>
            <w:tcBorders/>
            <w:shd w:fill="CCEEFF" w:val="clear"/>
            <w:vAlign w:val="center"/>
          </w:tcPr>
          <w:p>
            <w:pPr>
              <w:pStyle w:val="TableContents"/>
              <w:bidi w:val="0"/>
              <w:spacing w:before="0" w:after="283"/>
              <w:jc w:val="left"/>
              <w:rPr/>
            </w:pPr>
            <w:r>
              <w:rPr/>
              <w:t>Insurance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180,901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166,975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13,926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8.3</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Commissions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0.0</w:t>
            </w:r>
          </w:p>
        </w:tc>
        <w:tc>
          <w:tcPr>
            <w:tcW w:w="296" w:type="dxa"/>
            <w:tcBorders/>
            <w:vAlign w:val="center"/>
          </w:tcPr>
          <w:p>
            <w:pPr>
              <w:pStyle w:val="TableContents"/>
              <w:bidi w:val="0"/>
              <w:spacing w:before="0" w:after="283"/>
              <w:ind w:left="0" w:right="0" w:hanging="158"/>
              <w:jc w:val="left"/>
              <w:rPr/>
            </w:pPr>
            <w:r>
              <w:rPr/>
              <w:t>%</w:t>
            </w:r>
          </w:p>
        </w:tc>
      </w:tr>
      <w:tr>
        <w:trPr/>
        <w:tc>
          <w:tcPr>
            <w:tcW w:w="2514" w:type="dxa"/>
            <w:tcBorders/>
            <w:shd w:fill="CCEEFF" w:val="clear"/>
            <w:vAlign w:val="center"/>
          </w:tcPr>
          <w:p>
            <w:pPr>
              <w:pStyle w:val="TableContents"/>
              <w:bidi w:val="0"/>
              <w:spacing w:before="0" w:after="283"/>
              <w:jc w:val="left"/>
              <w:rPr/>
            </w:pPr>
            <w:r>
              <w:rPr/>
              <w:t>Travel &amp; entertainment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29,590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46,197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(16,607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-35.9</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Advertising &amp; marketing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4,142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4,395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(253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-5.8</w:t>
            </w:r>
          </w:p>
        </w:tc>
        <w:tc>
          <w:tcPr>
            <w:tcW w:w="296" w:type="dxa"/>
            <w:tcBorders/>
            <w:vAlign w:val="center"/>
          </w:tcPr>
          <w:p>
            <w:pPr>
              <w:pStyle w:val="TableContents"/>
              <w:bidi w:val="0"/>
              <w:spacing w:before="0" w:after="283"/>
              <w:ind w:left="0" w:right="0" w:hanging="158"/>
              <w:jc w:val="left"/>
              <w:rPr/>
            </w:pPr>
            <w:r>
              <w:rPr/>
              <w:t>%</w:t>
            </w:r>
          </w:p>
        </w:tc>
      </w:tr>
      <w:tr>
        <w:trPr/>
        <w:tc>
          <w:tcPr>
            <w:tcW w:w="2514" w:type="dxa"/>
            <w:tcBorders/>
            <w:shd w:fill="CCEEFF" w:val="clear"/>
            <w:vAlign w:val="center"/>
          </w:tcPr>
          <w:p>
            <w:pPr>
              <w:pStyle w:val="TableContents"/>
              <w:bidi w:val="0"/>
              <w:spacing w:before="0" w:after="283"/>
              <w:jc w:val="left"/>
              <w:rPr/>
            </w:pPr>
            <w:r>
              <w:rPr/>
              <w:t>Banking and credit card processing</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15,189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9,855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184.8</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Professional fees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312,672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1.5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322,502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2.0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(9,830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bottom w:val="single" w:sz="8" w:space="0" w:color="000000"/>
            </w:tcBorders>
            <w:tcMar>
              <w:bottom w:w="28" w:type="dxa"/>
            </w:tcMar>
            <w:vAlign w:val="center"/>
          </w:tcPr>
          <w:p>
            <w:pPr>
              <w:pStyle w:val="TableContents"/>
              <w:bidi w:val="0"/>
              <w:spacing w:before="0" w:after="283"/>
              <w:jc w:val="left"/>
              <w:rPr/>
            </w:pPr>
            <w:r>
              <w:rPr/>
              <w:t> </w:t>
            </w:r>
          </w:p>
        </w:tc>
        <w:tc>
          <w:tcPr>
            <w:tcW w:w="696" w:type="dxa"/>
            <w:tcBorders>
              <w:bottom w:val="single" w:sz="8" w:space="0" w:color="000000"/>
            </w:tcBorders>
            <w:tcMar>
              <w:bottom w:w="28" w:type="dxa"/>
            </w:tcMar>
            <w:vAlign w:val="center"/>
          </w:tcPr>
          <w:p>
            <w:pPr>
              <w:pStyle w:val="TableContents"/>
              <w:bidi w:val="0"/>
              <w:spacing w:before="0" w:after="283"/>
              <w:jc w:val="right"/>
              <w:rPr/>
            </w:pPr>
            <w:r>
              <w:rPr/>
              <w:t>-3.0</w:t>
            </w:r>
          </w:p>
        </w:tc>
        <w:tc>
          <w:tcPr>
            <w:tcW w:w="296" w:type="dxa"/>
            <w:tcBorders/>
            <w:vAlign w:val="center"/>
          </w:tcPr>
          <w:p>
            <w:pPr>
              <w:pStyle w:val="TableContents"/>
              <w:bidi w:val="0"/>
              <w:spacing w:before="0" w:after="283"/>
              <w:ind w:left="0" w:right="0" w:hanging="158"/>
              <w:jc w:val="left"/>
              <w:rPr/>
            </w:pPr>
            <w:r>
              <w:rPr/>
              <w:t>%</w:t>
            </w:r>
          </w:p>
        </w:tc>
      </w:tr>
      <w:tr>
        <w:trPr/>
        <w:tc>
          <w:tcPr>
            <w:tcW w:w="25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4,172,577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19.8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3,170,182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19.1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1,002,395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31.6</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Non-cash OpEx:</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ind w:left="0" w:right="0" w:hanging="158"/>
              <w:jc w:val="left"/>
              <w:rPr/>
            </w:pPr>
            <w:r>
              <w:rPr/>
              <w:t> </w:t>
            </w:r>
          </w:p>
        </w:tc>
      </w:tr>
      <w:tr>
        <w:trPr/>
        <w:tc>
          <w:tcPr>
            <w:tcW w:w="2514" w:type="dxa"/>
            <w:tcBorders/>
            <w:shd w:fill="CCEEFF" w:val="clear"/>
            <w:vAlign w:val="center"/>
          </w:tcPr>
          <w:p>
            <w:pPr>
              <w:pStyle w:val="TableContents"/>
              <w:bidi w:val="0"/>
              <w:spacing w:before="0" w:after="283"/>
              <w:jc w:val="left"/>
              <w:rPr/>
            </w:pPr>
            <w:r>
              <w:rPr/>
              <w:t>Bad debt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755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12,973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(12,218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-94.2</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Share based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(186,657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518,120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(704,777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-136.0</w:t>
            </w:r>
          </w:p>
        </w:tc>
        <w:tc>
          <w:tcPr>
            <w:tcW w:w="296" w:type="dxa"/>
            <w:tcBorders/>
            <w:vAlign w:val="center"/>
          </w:tcPr>
          <w:p>
            <w:pPr>
              <w:pStyle w:val="TableContents"/>
              <w:bidi w:val="0"/>
              <w:spacing w:before="0" w:after="283"/>
              <w:ind w:left="0" w:right="0" w:hanging="158"/>
              <w:jc w:val="left"/>
              <w:rPr/>
            </w:pPr>
            <w:r>
              <w:rPr/>
              <w:t>%</w:t>
            </w:r>
          </w:p>
        </w:tc>
      </w:tr>
      <w:tr>
        <w:trPr/>
        <w:tc>
          <w:tcPr>
            <w:tcW w:w="2514" w:type="dxa"/>
            <w:tcBorders/>
            <w:shd w:fill="CCEEFF" w:val="clear"/>
            <w:vAlign w:val="center"/>
          </w:tcPr>
          <w:p>
            <w:pPr>
              <w:pStyle w:val="TableContents"/>
              <w:bidi w:val="0"/>
              <w:spacing w:before="0" w:after="283"/>
              <w:jc w:val="left"/>
              <w:rPr/>
            </w:pPr>
            <w:r>
              <w:rPr/>
              <w:t>Depreciation &amp;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110,172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53,366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56,806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106.4</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Taxes &amp; fees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92,469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0.5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79,660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0.5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12,809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bottom w:val="single" w:sz="8" w:space="0" w:color="000000"/>
            </w:tcBorders>
            <w:tcMar>
              <w:bottom w:w="28" w:type="dxa"/>
            </w:tcMar>
            <w:vAlign w:val="center"/>
          </w:tcPr>
          <w:p>
            <w:pPr>
              <w:pStyle w:val="TableContents"/>
              <w:bidi w:val="0"/>
              <w:spacing w:before="0" w:after="283"/>
              <w:jc w:val="left"/>
              <w:rPr/>
            </w:pPr>
            <w:r>
              <w:rPr/>
              <w:t> </w:t>
            </w:r>
          </w:p>
        </w:tc>
        <w:tc>
          <w:tcPr>
            <w:tcW w:w="696" w:type="dxa"/>
            <w:tcBorders>
              <w:bottom w:val="single" w:sz="8" w:space="0" w:color="000000"/>
            </w:tcBorders>
            <w:tcMar>
              <w:bottom w:w="28" w:type="dxa"/>
            </w:tcMar>
            <w:vAlign w:val="center"/>
          </w:tcPr>
          <w:p>
            <w:pPr>
              <w:pStyle w:val="TableContents"/>
              <w:bidi w:val="0"/>
              <w:spacing w:before="0" w:after="283"/>
              <w:jc w:val="right"/>
              <w:rPr/>
            </w:pPr>
            <w:r>
              <w:rPr/>
              <w:t>16.1</w:t>
            </w:r>
          </w:p>
        </w:tc>
        <w:tc>
          <w:tcPr>
            <w:tcW w:w="296" w:type="dxa"/>
            <w:tcBorders/>
            <w:vAlign w:val="center"/>
          </w:tcPr>
          <w:p>
            <w:pPr>
              <w:pStyle w:val="TableContents"/>
              <w:bidi w:val="0"/>
              <w:spacing w:before="0" w:after="283"/>
              <w:ind w:left="0" w:right="0" w:hanging="158"/>
              <w:jc w:val="left"/>
              <w:rPr/>
            </w:pPr>
            <w:r>
              <w:rPr/>
              <w:t>%</w:t>
            </w:r>
          </w:p>
        </w:tc>
      </w:tr>
      <w:tr>
        <w:trPr/>
        <w:tc>
          <w:tcPr>
            <w:tcW w:w="25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16,739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664,119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(647,380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6" w:type="dxa"/>
            <w:tcBorders>
              <w:bottom w:val="single" w:sz="8" w:space="0" w:color="000000"/>
            </w:tcBorders>
            <w:shd w:fill="CCEEFF" w:val="clear"/>
            <w:tcMar>
              <w:bottom w:w="28" w:type="dxa"/>
            </w:tcMar>
            <w:vAlign w:val="center"/>
          </w:tcPr>
          <w:p>
            <w:pPr>
              <w:pStyle w:val="TableContents"/>
              <w:bidi w:val="0"/>
              <w:spacing w:before="0" w:after="283"/>
              <w:jc w:val="right"/>
              <w:rPr/>
            </w:pPr>
            <w:r>
              <w:rPr/>
              <w:t>-97.5</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Non-Operating (Income)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ind w:left="0" w:right="0" w:hanging="158"/>
              <w:jc w:val="left"/>
              <w:rPr/>
            </w:pPr>
            <w:r>
              <w:rPr/>
              <w:t> </w:t>
            </w:r>
          </w:p>
        </w:tc>
      </w:tr>
      <w:tr>
        <w:trPr/>
        <w:tc>
          <w:tcPr>
            <w:tcW w:w="2514"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187,927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209,487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(21,560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-10.3</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(Gain) loss on sale of subsidiaries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0"/>
              <w:jc w:val="right"/>
              <w:rPr/>
            </w:pPr>
            <w:r>
              <w:rPr/>
              <w:t>N/A</w:t>
            </w:r>
          </w:p>
        </w:tc>
        <w:tc>
          <w:tcPr>
            <w:tcW w:w="296" w:type="dxa"/>
            <w:tcBorders/>
            <w:vAlign w:val="center"/>
          </w:tcPr>
          <w:p>
            <w:pPr>
              <w:pStyle w:val="TableContents"/>
              <w:bidi w:val="0"/>
              <w:spacing w:before="0" w:after="283"/>
              <w:ind w:left="0" w:right="0" w:hanging="158"/>
              <w:jc w:val="left"/>
              <w:rPr/>
            </w:pPr>
            <w:r>
              <w:rPr/>
              <w:t> </w:t>
            </w:r>
          </w:p>
        </w:tc>
      </w:tr>
      <w:tr>
        <w:trPr/>
        <w:tc>
          <w:tcPr>
            <w:tcW w:w="2514" w:type="dxa"/>
            <w:tcBorders/>
            <w:shd w:fill="CCEEFF" w:val="clear"/>
            <w:vAlign w:val="center"/>
          </w:tcPr>
          <w:p>
            <w:pPr>
              <w:pStyle w:val="TableContents"/>
              <w:bidi w:val="0"/>
              <w:spacing w:before="0" w:after="283"/>
              <w:jc w:val="left"/>
              <w:rPr/>
            </w:pPr>
            <w:r>
              <w:rPr/>
              <w:t>(Gain) loss on sale of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0"/>
              <w:jc w:val="right"/>
              <w:rPr/>
            </w:pPr>
            <w:r>
              <w:rPr/>
              <w:t>N/A</w:t>
            </w:r>
          </w:p>
        </w:tc>
        <w:tc>
          <w:tcPr>
            <w:tcW w:w="296" w:type="dxa"/>
            <w:tcBorders/>
            <w:shd w:fill="CCEEFF" w:val="clear"/>
            <w:vAlign w:val="center"/>
          </w:tcPr>
          <w:p>
            <w:pPr>
              <w:pStyle w:val="TableContents"/>
              <w:bidi w:val="0"/>
              <w:spacing w:before="0" w:after="283"/>
              <w:ind w:left="0" w:right="0" w:hanging="158"/>
              <w:jc w:val="left"/>
              <w:rPr/>
            </w:pPr>
            <w:r>
              <w:rPr/>
              <w:t> </w:t>
            </w:r>
          </w:p>
        </w:tc>
      </w:tr>
      <w:tr>
        <w:trPr/>
        <w:tc>
          <w:tcPr>
            <w:tcW w:w="2514" w:type="dxa"/>
            <w:tcBorders/>
            <w:vAlign w:val="center"/>
          </w:tcPr>
          <w:p>
            <w:pPr>
              <w:pStyle w:val="TableContents"/>
              <w:bidi w:val="0"/>
              <w:spacing w:before="0" w:after="283"/>
              <w:jc w:val="left"/>
              <w:rPr/>
            </w:pPr>
            <w:r>
              <w:rPr/>
              <w:t>Other (income) expense</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(1,900</w:t>
            </w:r>
          </w:p>
        </w:tc>
        <w:tc>
          <w:tcPr>
            <w:tcW w:w="18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(1,900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bottom w:val="single" w:sz="8" w:space="0" w:color="000000"/>
            </w:tcBorders>
            <w:tcMar>
              <w:bottom w:w="28" w:type="dxa"/>
            </w:tcMar>
            <w:vAlign w:val="center"/>
          </w:tcPr>
          <w:p>
            <w:pPr>
              <w:pStyle w:val="TableContents"/>
              <w:bidi w:val="0"/>
              <w:spacing w:before="0" w:after="283"/>
              <w:jc w:val="left"/>
              <w:rPr/>
            </w:pPr>
            <w:r>
              <w:rPr/>
              <w:t> </w:t>
            </w:r>
          </w:p>
        </w:tc>
        <w:tc>
          <w:tcPr>
            <w:tcW w:w="696" w:type="dxa"/>
            <w:tcBorders>
              <w:bottom w:val="single" w:sz="8" w:space="0" w:color="000000"/>
            </w:tcBorders>
            <w:tcMar>
              <w:bottom w:w="28" w:type="dxa"/>
            </w:tcMar>
            <w:vAlign w:val="center"/>
          </w:tcPr>
          <w:p>
            <w:pPr>
              <w:pStyle w:val="TableContents"/>
              <w:bidi w:val="0"/>
              <w:spacing w:before="0" w:after="283"/>
              <w:jc w:val="right"/>
              <w:rPr/>
            </w:pPr>
            <w:r>
              <w:rPr/>
              <w:t>0.0</w:t>
            </w:r>
          </w:p>
        </w:tc>
        <w:tc>
          <w:tcPr>
            <w:tcW w:w="296" w:type="dxa"/>
            <w:tcBorders/>
            <w:vAlign w:val="center"/>
          </w:tcPr>
          <w:p>
            <w:pPr>
              <w:pStyle w:val="TableContents"/>
              <w:bidi w:val="0"/>
              <w:spacing w:before="0" w:after="283"/>
              <w:ind w:left="0" w:right="0" w:hanging="158"/>
              <w:jc w:val="left"/>
              <w:rPr/>
            </w:pPr>
            <w:r>
              <w:rPr/>
              <w:t>%</w:t>
            </w:r>
          </w:p>
        </w:tc>
      </w:tr>
      <w:tr>
        <w:trPr/>
        <w:tc>
          <w:tcPr>
            <w:tcW w:w="2514" w:type="dxa"/>
            <w:tcBorders/>
            <w:shd w:fill="CCEEFF" w:val="clear"/>
            <w:vAlign w:val="center"/>
          </w:tcPr>
          <w:p>
            <w:pPr>
              <w:pStyle w:val="TableContents"/>
              <w:bidi w:val="0"/>
              <w:spacing w:before="0" w:after="283"/>
              <w:jc w:val="left"/>
              <w:rPr/>
            </w:pPr>
            <w:r>
              <w:rPr/>
              <w:t>Total other (income)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186,027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0.9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207,587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(21,560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6" w:type="dxa"/>
            <w:tcBorders>
              <w:bottom w:val="single" w:sz="8" w:space="0" w:color="000000"/>
            </w:tcBorders>
            <w:shd w:fill="CCEEFF" w:val="clear"/>
            <w:tcMar>
              <w:bottom w:w="28" w:type="dxa"/>
            </w:tcMar>
            <w:vAlign w:val="center"/>
          </w:tcPr>
          <w:p>
            <w:pPr>
              <w:pStyle w:val="TableContents"/>
              <w:bidi w:val="0"/>
              <w:spacing w:before="0" w:after="283"/>
              <w:jc w:val="right"/>
              <w:rPr/>
            </w:pPr>
            <w:r>
              <w:rPr/>
              <w:t>10.4</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ind w:left="0" w:right="0" w:hanging="158"/>
              <w:jc w:val="left"/>
              <w:rPr/>
            </w:pPr>
            <w:r>
              <w:rPr/>
              <w:t> </w:t>
            </w:r>
          </w:p>
        </w:tc>
      </w:tr>
      <w:tr>
        <w:trPr/>
        <w:tc>
          <w:tcPr>
            <w:tcW w:w="2514" w:type="dxa"/>
            <w:tcBorders/>
            <w:shd w:fill="CCEEFF" w:val="clear"/>
            <w:vAlign w:val="center"/>
          </w:tcPr>
          <w:p>
            <w:pPr>
              <w:pStyle w:val="TableContents"/>
              <w:bidi w:val="0"/>
              <w:spacing w:before="0" w:after="283"/>
              <w:jc w:val="left"/>
              <w:rPr/>
            </w:pPr>
            <w:r>
              <w:rPr/>
              <w:t>Net income (loss)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58,510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pPr>
            <w:r>
              <w:rPr/>
              <w:t>0.3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(60,000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pPr>
            <w:r>
              <w:rPr/>
              <w:t>-0.4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118,510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6" w:type="dxa"/>
            <w:tcBorders>
              <w:bottom w:val="double" w:sz="6" w:space="0" w:color="000000"/>
            </w:tcBorders>
            <w:shd w:fill="CCEEFF" w:val="clear"/>
            <w:tcMar>
              <w:bottom w:w="28" w:type="dxa"/>
            </w:tcMar>
            <w:vAlign w:val="center"/>
          </w:tcPr>
          <w:p>
            <w:pPr>
              <w:pStyle w:val="TableContents"/>
              <w:bidi w:val="0"/>
              <w:spacing w:before="0" w:after="283"/>
              <w:jc w:val="right"/>
              <w:rPr/>
            </w:pPr>
            <w:r>
              <w:rPr/>
              <w:t>197.5</w:t>
            </w:r>
          </w:p>
        </w:tc>
        <w:tc>
          <w:tcPr>
            <w:tcW w:w="296" w:type="dxa"/>
            <w:tcBorders/>
            <w:shd w:fill="CCEEFF" w:val="clear"/>
            <w:vAlign w:val="center"/>
          </w:tcPr>
          <w:p>
            <w:pPr>
              <w:pStyle w:val="TableContents"/>
              <w:bidi w:val="0"/>
              <w:spacing w:before="0" w:after="283"/>
              <w:ind w:left="0" w:right="0" w:hanging="158"/>
              <w:jc w:val="left"/>
              <w:rPr/>
            </w:pPr>
            <w:r>
              <w:rPr/>
              <w:t>%</w:t>
            </w:r>
          </w:p>
        </w:tc>
      </w:tr>
      <w:tr>
        <w:trPr/>
        <w:tc>
          <w:tcPr>
            <w:tcW w:w="25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ind w:left="0" w:right="0" w:hanging="158"/>
              <w:jc w:val="left"/>
              <w:rPr/>
            </w:pPr>
            <w:r>
              <w:rPr/>
              <w:t> </w:t>
            </w:r>
          </w:p>
        </w:tc>
      </w:tr>
      <w:tr>
        <w:trPr/>
        <w:tc>
          <w:tcPr>
            <w:tcW w:w="2514" w:type="dxa"/>
            <w:tcBorders/>
            <w:shd w:fill="CCEEFF" w:val="clear"/>
            <w:vAlign w:val="center"/>
          </w:tcPr>
          <w:p>
            <w:pPr>
              <w:pStyle w:val="TableContents"/>
              <w:bidi w:val="0"/>
              <w:spacing w:before="0" w:after="283"/>
              <w:jc w:val="left"/>
              <w:rPr/>
            </w:pPr>
            <w:r>
              <w:rPr/>
              <w:t>Other segment disclosures: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ind w:left="0" w:right="0" w:hanging="158"/>
              <w:jc w:val="left"/>
              <w:rPr/>
            </w:pPr>
            <w:r>
              <w:rPr/>
              <w:t> </w:t>
            </w:r>
          </w:p>
        </w:tc>
      </w:tr>
      <w:tr>
        <w:trPr/>
        <w:tc>
          <w:tcPr>
            <w:tcW w:w="2514" w:type="dxa"/>
            <w:tcBorders/>
            <w:vAlign w:val="center"/>
          </w:tcPr>
          <w:p>
            <w:pPr>
              <w:pStyle w:val="TableContents"/>
              <w:bidi w:val="0"/>
              <w:spacing w:before="0" w:after="283"/>
              <w:jc w:val="left"/>
              <w:rPr/>
            </w:pPr>
            <w:r>
              <w:rPr/>
              <w:t>Segment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23,973,770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19,049,823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ind w:left="0" w:right="0" w:hanging="158"/>
              <w:jc w:val="left"/>
              <w:rPr/>
            </w:pPr>
            <w:r>
              <w:rPr/>
              <w:t> </w:t>
            </w:r>
          </w:p>
        </w:tc>
      </w:tr>
      <w:tr>
        <w:trPr/>
        <w:tc>
          <w:tcPr>
            <w:tcW w:w="2514" w:type="dxa"/>
            <w:tcBorders/>
            <w:shd w:fill="CCEEFF" w:val="clear"/>
            <w:vAlign w:val="center"/>
          </w:tcPr>
          <w:p>
            <w:pPr>
              <w:pStyle w:val="TableContents"/>
              <w:bidi w:val="0"/>
              <w:spacing w:before="0" w:after="283"/>
              <w:jc w:val="left"/>
              <w:rPr/>
            </w:pPr>
            <w:r>
              <w:rPr/>
              <w:t>Expenditures for segment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208,886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1,406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 </w:t>
            </w:r>
          </w:p>
        </w:tc>
        <w:tc>
          <w:tcPr>
            <w:tcW w:w="29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Payments to Prior Executive Officers under Separation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cash in the amount of $166,666 to Mr. Klepfish, its prior CEO, in connection with the SK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cash in the amount of $166,667 to Mr. Klepfish.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Cobra payments on behalf of Mr. Weirnasz, its prior Director of Strategic Acquisitions and previous board member, in the amount of $967.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made cash payments to Mr. Tang, its prior CFO, in the amount of $108,740, and made Cobra payments on behalf of Mr. Tang in the amount of $11,539.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MAJOR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and 2024, the Company’s largest customer, U.S. Foods, Inc. and its affiliates, accounted for approximately 34% and 48% of total sales, respectively; Sam’s Club, represented 19% and 0% of total sales, respectively; and Gate Gourmet, the leading global provider of airline catering solutions and provisioning services for airlines, represented 15% and 18% of total sales,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and 2024, the Company’s largest customer, U.S. Foods, Inc. and its affiliates, accounted for approximately 34% and 49% of total sales, respectively; Sam’s Club, represented 19% and 0% of total sales, respectively; and Gate Gourmet, the leading global provider of airline catering solutions and provisioning services for airlines, represented 14% and 18% of total sales,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 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 2025, a total of 82,952 shares of common stock were issued to the Company’s COO pursuant to the COO Stock Plan. These shares were classified as Common Stock to be Issued on the Company’s balance sheet at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2025, the Company’s Board of Directors approved a definitive plan to exit and sell its Pennsylvania facility, which housed four functional components: (1) cheese operations, (2) logistics consulting, (3) IFP (overhead functions), and (4) airline foods operations. The cheese, logistics, and IFP functions will be fully shut down, while the airline foods operation will be relocated to the Company’s existing Broadview, IL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classified the PA facility as held-for-sale in accordance with ASC 360-10 in Q1 2025. The definitive sale agreement is expected to be executed in Q3 2025. Implementation of the plan is expected to begin in Q3 2025 and be completed by the end of Q4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estimates net proceeds from the sale to be approximately $9,725,000, which it intends to use to pay down the associated property note of approximately $8,600,000, pre-payment penalty of approximately $265,000, and estimated closing cost and related expenses of approximately $730,000.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0" w:name="a_008"/>
      <w:bookmarkEnd w:id="10"/>
      <w:r>
        <w:rPr>
          <w:rFonts w:ascii="Times New Roman;Times;Serif" w:hAnsi="Times New Roman;Times;Serif"/>
          <w:b/>
          <w:i w:val="false"/>
          <w:caps w:val="false"/>
          <w:smallCaps w:val="false"/>
          <w:sz w:val="20"/>
        </w:rPr>
        <w:t>Item 2. 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report to “we,” “us,” “IVFH” or the “Company” refer to Innovative Food Holdings, Inc. and all of its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in conjunction with the consolidated financial statements and the related notes thereto, as well as all other related notes, and financial and operational references, appearing elsewhere in this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discussion and elsewhere in this report may include “forward-looking statements” within the meaning of the Private Securities Litigation Reform Act of 1995 (the “Private Securities Litigation Reform Act”), and is subject to the safe harbor created by that act. The safe harbor created by the Private Securities Litigation Reform Act will not apply to certain “forward-looking statements” because we issued “penny stock” (as defined in Section 3(a)(51) of the Securities Exchange Act of 1934, as amended (the “Exchange Act”), and Rule 3(a)(51-1) under the Exchange Act) during the three year period preceding the date(s) on which those forward-looking statements were first made, except to the extent otherwise specifically provided by rule, regulation or order of the Securities and Exchange Commission (the “SEC”).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105"/>
        <w:gridCol w:w="200"/>
        <w:gridCol w:w="87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both"/>
              <w:rPr>
                <w:sz w:val="20"/>
              </w:rPr>
            </w:pPr>
            <w:r>
              <w:rPr>
                <w:sz w:val="20"/>
              </w:rPr>
              <w:t>Our ability to raise capital necessary to sustain our anticipated operations and implement our business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Our ability to implement our business plan, including sale and acquisition of certain operations,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potential impact on future revenue and operations resulting from changes to our business plan, including our decision to exit certain business lines such as cheese and logistics.</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105"/>
        <w:gridCol w:w="200"/>
        <w:gridCol w:w="62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sz w:val="20"/>
              </w:rPr>
            </w:pPr>
            <w:r>
              <w:rPr>
                <w:sz w:val="20"/>
              </w:rPr>
              <w:t>Our ability to generate sufficient cash to pay our lenders and other creditors,</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105"/>
        <w:gridCol w:w="200"/>
        <w:gridCol w:w="35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sz w:val="20"/>
              </w:rPr>
            </w:pPr>
            <w:r>
              <w:rPr>
                <w:sz w:val="20"/>
              </w:rPr>
              <w:t>Our dependence on three major customers,</w:t>
            </w:r>
          </w:p>
        </w:tc>
      </w:tr>
    </w:tbl>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05"/>
        <w:gridCol w:w="200"/>
        <w:gridCol w:w="5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sz w:val="20"/>
              </w:rPr>
            </w:pPr>
            <w:r>
              <w:rPr>
                <w:sz w:val="20"/>
              </w:rPr>
              <w:t>Our ability to employ and retain qualified management and employees,</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105"/>
        <w:gridCol w:w="200"/>
        <w:gridCol w:w="75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sz w:val="20"/>
              </w:rPr>
            </w:pPr>
            <w:r>
              <w:rPr>
                <w:sz w:val="20"/>
              </w:rPr>
              <w:t>Our dependence on the efforts and abilities of our current employees and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105"/>
        <w:gridCol w:w="200"/>
        <w:gridCol w:w="76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sz w:val="20"/>
              </w:rPr>
            </w:pPr>
            <w:r>
              <w:rPr>
                <w:sz w:val="20"/>
              </w:rPr>
              <w:t>Changes in government regulations that are applicable to our current or anticipated business,</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05"/>
        <w:gridCol w:w="200"/>
        <w:gridCol w:w="5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sz w:val="20"/>
              </w:rPr>
            </w:pPr>
            <w:r>
              <w:rPr>
                <w:sz w:val="20"/>
              </w:rPr>
              <w:t>Changes in the demand for our services and different food trends,</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05"/>
        <w:gridCol w:w="200"/>
        <w:gridCol w:w="83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sz w:val="20"/>
              </w:rPr>
            </w:pPr>
            <w:r>
              <w:rPr>
                <w:sz w:val="20"/>
              </w:rPr>
              <w:t>The imposition of tariffs or other trade restrictions that may increase costs or disrupt our supply chain,</w:t>
            </w:r>
          </w:p>
        </w:tc>
      </w:tr>
    </w:tbl>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05"/>
        <w:gridCol w:w="200"/>
        <w:gridCol w:w="35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sz w:val="20"/>
              </w:rPr>
            </w:pPr>
            <w:r>
              <w:rPr>
                <w:sz w:val="20"/>
              </w:rPr>
              <w:t>The degree and nature of our competition,</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05"/>
        <w:gridCol w:w="200"/>
        <w:gridCol w:w="39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sz w:val="20"/>
              </w:rPr>
            </w:pPr>
            <w:r>
              <w:rPr>
                <w:sz w:val="20"/>
              </w:rPr>
              <w:t>The lack of diversification of our business plan,</w:t>
            </w:r>
          </w:p>
        </w:tc>
      </w:tr>
    </w:tbl>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105"/>
        <w:gridCol w:w="200"/>
        <w:gridCol w:w="79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sz w:val="20"/>
              </w:rPr>
            </w:pPr>
            <w:r>
              <w:rPr>
                <w:sz w:val="20"/>
              </w:rPr>
              <w:t>The general volatility of the capital markets and the establishment of a market for our shares,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energy costs, and environmental weather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Policy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 in the Preparation of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valuation of stock-based services,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Provision for Doubtful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provides an allowance for doubtful accounts equal to the estimated uncollectible amounts pursuant to the guidance of Accounting Standards Update (“ASU”) 2016-13, </w:t>
      </w:r>
      <w:r>
        <w:rPr>
          <w:rFonts w:ascii="Times New Roman;Times;Serif" w:hAnsi="Times New Roman;Times;Serif"/>
          <w:b w:val="false"/>
          <w:i/>
          <w:caps w:val="false"/>
          <w:smallCaps w:val="false"/>
          <w:sz w:val="20"/>
        </w:rPr>
        <w:t xml:space="preserve">Financial Instruments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Credit Losses</w:t>
      </w:r>
      <w:r>
        <w:rPr>
          <w:rFonts w:ascii="Times New Roman;Times;Serif" w:hAnsi="Times New Roman;Times;Serif"/>
          <w:b w:val="false"/>
          <w:i w:val="false"/>
          <w:caps w:val="false"/>
          <w:smallCaps w:val="false"/>
          <w:sz w:val="20"/>
        </w:rPr>
        <w:t xml:space="preserve"> (Topic 326), as codified in Accounts Standards Codification (“ASC”) 326, </w:t>
      </w:r>
      <w:r>
        <w:rPr>
          <w:rFonts w:ascii="Times New Roman;Times;Serif" w:hAnsi="Times New Roman;Times;Serif"/>
          <w:b w:val="false"/>
          <w:i/>
          <w:caps w:val="false"/>
          <w:smallCaps w:val="false"/>
          <w:sz w:val="20"/>
        </w:rPr>
        <w:t xml:space="preserve">Financial Instruments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Credit Losses</w:t>
      </w:r>
      <w:r>
        <w:rPr>
          <w:rFonts w:ascii="Times New Roman;Times;Serif" w:hAnsi="Times New Roman;Times;Serif"/>
          <w:b w:val="false"/>
          <w:i w:val="false"/>
          <w:caps w:val="false"/>
          <w:smallCaps w:val="false"/>
          <w:sz w:val="20"/>
        </w:rPr>
        <w:t>. Under ASC 326, the Company utilizes a current and expected credit loss (CECL) impairment model. ASU 2016-13 became effective for us on January 1, 2023.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$40,000 at June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Business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build dynamic scalable businesses by selling specialty foods that are difficult to find through traditional channels. Our expertise is forging close relationships with the producers, growers, makers and distributors of specialty products, then carefully selecting our suppliers based on their quality, uniqueness and reliability.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IVFH team is adept at evaluating and certifying the food safety and supply chain capabilities of small batch producers who don’t typically sell through broad-based sales channels. We seek out the freshest, most unique, origin-specific gourmet cheese, meat, produce, and premium ingredients available, and distribute them directly from our robust network of vendors and warehouses within 24 – 72 hours of an order being placed. We also source, package, and brand a meaningful segment of these products ourselves, enabling us to better control the assortment, offer more flexibility and variety to our customers, and capture additional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this unique, premium assortment to serve the needs of Professional Chefs in settings such as restaurants, hotels, country clubs, national chain accounts, casinos, hospitals and catering houses. We provide these premium customers with products that can’t typically be found through their broadline distributor’s warehouse assortment. We distribute these products directly to Professional Chefs in Chicago through our subsidiary, Artisan Specialty Foods, Inc., and nationally through our e-commerce businesses on Amazon.com and our own website. We also drop ship specialty foods to Professional Chefs nationally through the websites of broadline distributors, such as US Foods, Inc. Lastly, we sell these food to large retailers for resale on their shelves to the end customer. Between this variety of sales channels, we are able to serve our Professional Chef customers wherever they are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our airline catering distribution business out of our owned 28,000 square foot facility in the greater Chicago area. In addition, following the closing of our acquisition of Golden Organics, we now operate a warehouse in Denver, Colorado, measuring approximately 20,000 square feet. We also operated a 200,000 square foot facility in Mountain Top, Pennsylvania, which previously supported both our retail and airline catering operations. Subsequent to the date of these financial statements, we entered into a sale agreement for this Pennsylvania property. In connection with this transition, our airline catering operations have been relocated to the Chicago facility, and our retail business is being wound down.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facilities have the capabilities to pack and ship frozen, refrigerated, and ambient products, enabling us to offer a broad range of specialty foods. We maintain GFSI/SQF certifications, ensuring compatibility with the highest global standards for food handling and meeting the quality and food safety expectations of our premium customers. These warehouses are equipped to ship packages and pallets of all sizes via overnight carriers. We also utilize our own fleet of trucks to deliver directly to Professional Chef customers within our delivery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built a team consisting of passionate, committed, and food-obsessed people: our average tenure (outside of seasonal workers) across the Company is over five years. Our merchandising team has deep connections within the specialty food space around the globe. Our customer service and sales teams, as ex-chefs themselves, go beyond customer service to offer our Professional Chefs customer support, menu ideas, and preparation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involve risks and uncertainties. Our future results could differ materially from the forward-looking statements discussed in this report. This discussion should be read in conjunction with our consolidated financial statements, the notes thereto and other financial information included elsewhere in the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Highlights for the fiscal quarter ended June 30, 2025: IVFH reported revenue of $21.1 million, a 26.9% increase compared to $16.6 million in 2024. Our organic revenue growth, which excludes the impact of divestitures and acquisitions, was 23.6% for the full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Breakdown: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Digital Channels: Largely made up of our Distributor Relationships and supported by our Drop Ship model. This category contributed $9 million, which is 42.7% of our total revenue. This represents a decrease of 4.9% from $9.5 million in 2024, primarily due to continued headwinds in our legacy drop ship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National Distribution: Captures our growing partnerships with airline caterers and our national retail customer. This category generated $7.6 million, or 36.1% of total revenue, marking a 144.1% increase from $3.1 million in 2024. These sales are generally delivered to the customer through 3PL carriers or FedEx. Airline caterers generated $3.9 million in revenue, a 26.1% increase compared to 2024, while our cheese conversion operations for the national retail customer contributed $3.7 million.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Local Distribution: Consists mainly of local sales team relationships and our local fleet delivering direct from warehouse. This category generated $4.2 million, or 20.1% of total revenue, which is a 50% increase from $2.8 million in 2024.  The figure includes $1.7 million, up from $0 in Q2 2024, due to acquisitions of LoCo Foods and Golden Organics.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Direct-to-Consumer: Divested; however, will continue to impact revenue throughout much of 2025 due to the historical revenues generated by igourmet.com through Q3 2024. In Q2 2025, Direct-to-Consumer revenue declined by 100%, compared to $0.9 million in Q2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Other Services: Consisting of numerous activities, mainly monetizing the excess space in Pennsylvania. This category contributed $201k, or 1% of total revenue, a decrease of 19.5% from $249k in 2024. Our largest customer in this space recently notified us that, due to economic conditions in the solar industry, they will be exiting the logistics service agreement in September. This customer made up 99% of Other Services revenue.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for the three months ended June 30, 2025 increased 31.9% to $16.7 million compared to $12.6 million last year. Gross margin dropped by 294 basis points to 21%, mainly due to changes in our sales mix as we expanded our cheese business. Cheese products sold to retailers carry lower margins than our other offerings and accounted for 17.5% of Q2 2025 sales, versus 0% in Q2 2024. Excluding cheese, gross margins increased 66 bps. The margin improvement was primarily attributable to lower shipping costs, which contributed a 34 basis point increase in total margin. Shipping costs represented 10.3% of revenue in Q2 2025, compared to 10.7% in the prior-year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Operating Expenses (Cash OpEx):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Payroll and related costs increased by $658 thousand to $3 million. This increase was mainly due to higher headcount to support the national distribution business, totaling $282 thousand, and additional employees brought on through acquisitions completed in Q4 2024, which accounted for $359 thousand. These increases were partially offset by a $64 thousand reduction in benefits expense, a $45 thousand decrease in payroll taxes resulting from the use of contract labor in the cheese business, and a $120 thousand decline in bonus accruals compared to the prior-year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Computer and IT Costs: Increased by $12 thousand to $102 thousand, reflecting the onboarding of LoCo Foods and Golden Organics and the timing of annual software renewals. Core IT spend remained stable as the Company continues to streamline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Office, facilities, and vehicle expenses increased by $335 thousand. The increase is attributed to costs associated with our cheese operations in Pennsylvania ($102 thousand), a new office location tied to our Q4 acquisitions ($100 thousand), and a larger truck fleet to support our expanding local distribution business ($40 thousand).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Advertising and Digital Marketing Costs: Totaled $4 thousand in both Q2 2024 and 2025, resulting from a full year's cycle of the restructuring of marketing programs and a strategic shift away from direct-to-consumer advertising.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 xml:space="preserve">Professional and legal fees decreased by $10 thousand to $312 thousand. We are currently undertaking a vendor review process aimed at identifying further cost reduction opportunities going forward.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OpEx increased: The total Cash OpEx increased by $1 million, or 19.8%, reflecting growth in our national distribution channels and M&amp;A activity in Q4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Operating Expenses (Non-Cash OpEx):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Share-Based Compensation: Decreased by $705 thousand a credit of ($187) thousand, due to revaluation of stock options and other equity-based incentives to attract and retain key personnel.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Depreciation and amortization expense increased by $57 thousand to $110 thousand, reflecting an increase in PPE associated with Q4 acquisitions similar net book value of property, plant, and equipment compared to the prior year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Bad Debt Expense: decreased by $12 thousand to $1 thousand, primarily due to changes in customer mix within our local delivery segment.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Revenue Breakdown: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Digital Channels: Largely made up of our Distributor Relationships and supported by our Drop Ship model. This category contributed $17.4 million, which is 42.7% of our total revenue. This represents a decrease of 5.8% from $18.4 million in 2024, primarily due to continued headwinds in our legacy drop ship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National Distribution: Captures our growing partnerships with airline caterers and our national retail customer. This category generated $14.2 million, or 34.9% of total revenue, marking a 139.1% increase from $5.9 million in 2024. These sales are generally delivered to the customer through 3PL carriers or FedEx. Airline caterers generated $6.8 million in revenue, a 14.8% increase compared to 2024, while our cheese conversion operations for the national retail customer contributed $7.4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Local Distribution: Consists mainly of local sales team relationships and our local fleet delivering direct from warehouse. This category brought in $8.7 million, or 21.3% of total revenue, an increase of 67.4% from $5.2 million in 2024, supported by $3.7 million from the recent acquisitions of LoCo Foods and Golden Organics.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Direct-to-Consumer: Divested; however, will continue to impact revenue throughout much of 2025 due to the historical revenues generated by igourmet.com through Q3 2024. In H2 2025, Direct-to-Consumer revenue declined by 100%, compared to $2.1 million in Q1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Other Services: Consisting of numerous activities, mainly monetizing the excess space in Pennsylvania. This category contributed $453k, or 1.1% of total revenue, a decrease of 1% from $457k in 2024. Our largest customer in this space recently notified us that, due to economic conditions in the solar industry, they will be exiting the logistics service agreement in September. This customer made up 99% of Other Services 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for the first half of 2025 increased 30.3% to $31.7 million, compared to $24.4 million in the prior-year period. Gross margin declined by 228 basis points to 21.9%, primarily due to the expansion of our cheese business. Cheese products, which carry lower margins than our core offerings, represented 18.1% of total sales in H1 2025, compared to 0% in H1 2024. Excluding cheese sales, gross margin increased 118 basis points. This increase was driven by decreased platform fees, which improved margins by approximately 133 basis points, and lower shipping costs, which improved margins by 84 basis points. This impact was partially offset by higher product and fulfilment costs, which lowered margins by 99 basis points.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Operating Expenses (Cash OpEx):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Payroll and related costs increased by $1 million to $5.8 million. This increase was mainly due to higher headcount to support national distribution business, amounting to $557 thousand, and employees added through acquisitions completed in Q4 2024, which amounted to $667 thousand. These increases were partially offset by reduced benefits expense of $141 thousand, reduced payroll taxes of $199 thousand..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Computer and IT Costs: Reduced by $25 thousand to $204 thousand, reflecting the Company’s efforts to streamline IT operations and reduce software and hardware expenses.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 xml:space="preserve">Office, facilities, and vehicle expenses increased by $595 thousand. The increase is primarily due to new office locations costing $280 thousand as a result of the acquisition of Golden Organics and LoCo Foods. As part of this acquisition, LoCo Foods relocated from Fort Collins to Denver, consolidating offices. H1 results include $50 thousand in rent and utilities for the closed Fort Collins facility, which will not continue in subsequent quarters. Additionally, building-related costs at our cheese distribution facility totaled $167 thousand, and increased fleet costs at our Chicago hub accounted for $88 thousand.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Advertising and Digital Marketing Costs: Significant reduction of $19 thousand to $8 thousand, resulting from the restructuring of marketing programs and a strategic shift away from direct-to-consumer advertising.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Professional and legal fees increased by $104 thousand to $  865 thousand attributable to transactional activities related to acquisitions, and other corporate actions which are not expected to recur.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OpEx increased: The total Cash OpEx increased by $1.8 million, reflecting growth in our national distribution channels and M&amp;A activity in Q4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Operating Expenses (Non-Cash OpEx):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Share-Based Compensation: Decreased by $765 thousand to ($24) thousand, primarily due to lower amortization expense associated with stock appreciation rights (SARs), reflecting a decline in the company's stock price during the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Depreciation and amortization expense increased by $55 thousand to $218 thousand, reflecting an increase in PPE associated with Q4 acquisitions similar net book value of property, plant, and equipment compared to the prior year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Bad Debt Expense: decreased by $8 thousand to $28 thousand, primarily due to changes in customer mix within our local delivery segment.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Non-Recurring Expenses:</w:t>
      </w:r>
    </w:p>
    <w:p>
      <w:pPr>
        <w:pStyle w:val="TextBody"/>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05"/>
        <w:gridCol w:w="200"/>
        <w:gridCol w:w="52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sz w:val="20"/>
              </w:rPr>
            </w:pPr>
            <w:r>
              <w:rPr>
                <w:sz w:val="20"/>
              </w:rPr>
              <w:t>Gain on Sale of Assets: No transactions in Q2 2025 or Q2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Gain on Sale of Subsidiaries: No transactions in Q2 2025 or Q2 2024.</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Legal Settlement Expense: $210 thousand in Q1 2025 related to the resolution of a vendor dispute. No comparable expense in Q1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the company reported a net income from continuing operations of $59 thousand, compared to a net loss of $60 thousand in 2024, representing an increase of $119 thousand. During the six months ended June 30, 2025, the company reported a net loss from continuing operations of $371 thousand, compared to net income of $1.3 million in 2024, representing a decrease of $1.7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 at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IVFH had current assets of $20.7 million, including cash and cash equivalents of $1.5 million, and current liabilities of $6.5 million. The company had net working capital of $14.3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Analysis: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Operating Activities: Used $402 thousand, primarily due to changes in working capital components. The significant changes in working capital included: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 xml:space="preserve">Accounts receivable decreased by $2.1 million, primarily reflecting the collection of receivables related to elevated cheese sales in Q4 2024 and a reduction of aged receivables of $381 thousand. Cheese sales totaled approximately $5.4 million in Q4 compared to $3.7 million in Q2 2025, as the company completed the Q4 initial pipeline fill. The higher Q4 sales drove an increase in accounts receivable at year-end, and the subsequent collection of these balances contributed to the decrease in H1 2025.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Inventory decreased by $390 thousand, as a result of lowered cheese inventory balances compared to Q4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Accounts payable and accrued liabilities decreased by $2.5 million, primarily due to paydowns of inventory purchases related to the elevated Q4 2024 cheese sales, which were settled in Q1 2025. In addition, the decrease reflects the payment of aged vendor payables associated with the acquired LoCo Foods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Investing activities: Net cash used in investing activities was $208 thousand, primarily related to purchases of property and equipment. These investments included equipment for cheese cutting operations and warehouse improvements to support the consolidation of Loco Foods and Golden Organics, acquired in Q4 2024.</w:t>
            </w:r>
          </w:p>
        </w:tc>
      </w:tr>
    </w:tbl>
    <w:p>
      <w:pPr>
        <w:pStyle w:val="TextBody"/>
        <w:bidi w:val="0"/>
        <w:spacing w:before="0" w:after="0"/>
        <w:ind w:left="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105"/>
        <w:gridCol w:w="200"/>
        <w:gridCol w:w="85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pPr>
            <w:r>
              <w:rPr/>
              <w:t>Financing Activities: Used $215 thousand, primarily from the principal payments on debt.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 major customer and related economic dependence information is set forth below and following our discussion of 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largest customer, U.S. Foods, Inc. and its affiliates, accounted for approximately 34% and 48% of total sales in the three months ended June 30, 2025 and 2024, respectively; Sam’s Club, represented 17% and 0% of total sales, respectively; and Gate Gourmet, the leading global provider of airline catering solutions and provisioning services for airlines, represented 15% and 18% of total sales,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inflation has had a material effect on the Company’s financial condition and results of its operations. The Company has seen the impact of inflation across its costs for fuel, shipping, cost of goods, and marketing. Balancing the management of these increases with the willingness of our customers to pay higher prices will continue to be a key focus for the Company this year. However, no assurance can be given that we will be successful and inflationary pressure on our profits will likely continue through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business and success is subject to numerous risk factors as detailed in its Annual Report on Form 10-K for the year ended December 31, 2024 and other of its Current Reports on Form 8-K, all of which reports are available at no cost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by us in the reports that we file or submit pursuant to the requirements of the Exchange Act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Officer and Principal Financial Officer, after evaluating the effectiveness of our disclosure controls and procedures (as defined as defined in Rule 13a-15(f) and 15d-(f) under the Exchange Act) as of the end of the period covered by this report, have determined that our disclosure controls and procedures were effective at June 30, 2025 at the reasonable assurance level. In making this assessment, our management used the criteria set forth by the Committee of Sponsoring Organizations of the Treadway Commission in Internal Control-Integrated Framework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identified in connection with the evaluation required by Exchange Act Rules 13a-15(d) and 15d-15 that occurred during the period covered by this report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2023, the Company entered into an agreement with High Impact Analytics, LLC (“High Impact”) whereby the latter would provide sales management and support services in exchange for a variable fee. The agreement contained a provision requiring 30 days’ written notice for “cancellation”, following which High Impact would be entitled to commissions for 120 days thereafter; the agreement also explicitly expired on September 11, 2024 (at which point, by its own terms, it was “no longer in force”), and was not renewed. High Impact demanded continuing variable fee payments on the grounds that the Company had not “cancelled” the agreement, and the Company responded that the agreement expressly terminated on September 11, 2024, such that no cancellation was required. On March 13, 2025, High Impact filed suit in Benton County, Arkansas, alleging that it is entitled to fees in the amount of $500,000, or alternatively treble damages under Ark. Code Ann. § 4-70-301. On May 1, 2025, the Company reached a settlement agreement to resolve a dispute with High Impact. In connection with the settlement, pursuant to which the Company paid $210 thousand in Q2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quarterly period ended June 30, 2025, none of our directors or officers (as defined in Rule 16a-1(f) promulgated under the Exchange Act) adopted or terminated any “Rule 10b5-1 trading arrangement” or any “non-Rule 10b5-1 trading arrangement,” as each term is defined in Item 408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2"/>
        <w:gridCol w:w="90"/>
        <w:gridCol w:w="9483"/>
      </w:tblGrid>
      <w:tr>
        <w:trPr/>
        <w:tc>
          <w:tcPr>
            <w:tcW w:w="632" w:type="dxa"/>
            <w:tcBorders/>
            <w:vAlign w:val="center"/>
          </w:tcPr>
          <w:p>
            <w:pPr>
              <w:pStyle w:val="TableContents"/>
              <w:bidi w:val="0"/>
              <w:spacing w:before="0" w:after="283"/>
              <w:jc w:val="both"/>
              <w:rPr>
                <w:sz w:val="20"/>
              </w:rPr>
            </w:pPr>
            <w:r>
              <w:rPr>
                <w:sz w:val="20"/>
              </w:rPr>
              <w:t>3.1</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hyperlink r:id="rId3">
              <w:r>
                <w:rPr>
                  <w:rStyle w:val="InternetLink"/>
                  <w:sz w:val="20"/>
                </w:rPr>
                <w:t>Articles of Incorporation (incorporated by reference to Exhibit 3.1 of the Company’s Annual Report on Form 10-KSB for the year ended December 31, 2004 filed with the Securities and Exchange Commission on September 28, 2005).</w:t>
              </w:r>
            </w:hyperlink>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both"/>
              <w:rPr>
                <w:sz w:val="20"/>
              </w:rPr>
            </w:pPr>
            <w:r>
              <w:rPr>
                <w:sz w:val="20"/>
              </w:rPr>
              <w:t>3.2</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hyperlink r:id="rId4">
              <w:r>
                <w:rPr>
                  <w:rStyle w:val="InternetLink"/>
                  <w:sz w:val="20"/>
                </w:rPr>
                <w:t>Amended Bylaws of the Company (incorporated by reference to Exhibit 3.2 of the Company’s Annual Report on Form 10-K for the year ended December 31, 2010 filed with the SEC on March 16, 2011).</w:t>
              </w:r>
            </w:hyperlink>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left"/>
              <w:rPr>
                <w:sz w:val="20"/>
              </w:rPr>
            </w:pPr>
            <w:r>
              <w:rPr>
                <w:sz w:val="20"/>
              </w:rPr>
              <w:t>3.2.1</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hyperlink r:id="rId5">
              <w:r>
                <w:rPr>
                  <w:rStyle w:val="InternetLink"/>
                  <w:sz w:val="20"/>
                </w:rPr>
                <w:t>Amended Bylaws of the Company (incorporated by reference to Exhibit 3.1 of the Company’s Current Report on Form 8-K filed with the SEC on March 13, 2023).</w:t>
              </w:r>
            </w:hyperlink>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left"/>
              <w:rPr>
                <w:sz w:val="20"/>
              </w:rPr>
            </w:pPr>
            <w:r>
              <w:rPr>
                <w:sz w:val="20"/>
              </w:rPr>
              <w:t>10.1</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hyperlink r:id="rId6">
              <w:r>
                <w:rPr>
                  <w:rStyle w:val="InternetLink"/>
                  <w:sz w:val="20"/>
                </w:rPr>
                <w:t>Asset Purchase Agreement between igourmet and Advansiv Gourmet Group, Inc., dated August 6, 2024 (incorporated by reference to Exhibit 10.1 of the Company’s Current Report on Form 8-K filed with the SEC on August 12, 2024).</w:t>
              </w:r>
            </w:hyperlink>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left"/>
              <w:rPr>
                <w:sz w:val="20"/>
              </w:rPr>
            </w:pPr>
            <w:r>
              <w:rPr>
                <w:sz w:val="20"/>
              </w:rPr>
              <w:t>10.2</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hyperlink r:id="rId7">
              <w:r>
                <w:rPr>
                  <w:rStyle w:val="InternetLink"/>
                  <w:sz w:val="20"/>
                </w:rPr>
                <w:t>Amended and Restated Asset Purchase Agreement, dated August 30, 2024, between Innovative Gourmet LLC, iGourmet LLC and Advansiv Gourmet Group, Inc. (incorporated by reference to Exhibit 10.1 of the Company’s Current Report on Form 8-K filed with the SEC on September 5, 2024).</w:t>
              </w:r>
            </w:hyperlink>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left"/>
              <w:rPr>
                <w:sz w:val="20"/>
              </w:rPr>
            </w:pPr>
            <w:r>
              <w:rPr>
                <w:sz w:val="20"/>
              </w:rPr>
              <w:t>10.3</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hyperlink r:id="rId8">
              <w:r>
                <w:rPr>
                  <w:rStyle w:val="InternetLink"/>
                  <w:sz w:val="20"/>
                </w:rPr>
                <w:t>Transition Services Agreement, dated August 30, 2024, between Innovative Gourmet LLC, iGourmet LLC and Advansiv Gourmet Group, Inc. (incorporated by reference to Exhibit 10.2 of the Company’s Current Report on Form 8-K filed with the SEC on September 5, 2024).</w:t>
              </w:r>
            </w:hyperlink>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left"/>
              <w:rPr>
                <w:sz w:val="20"/>
              </w:rPr>
            </w:pPr>
            <w:r>
              <w:rPr>
                <w:sz w:val="20"/>
              </w:rPr>
              <w:t>10.4+^</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hyperlink r:id="rId9">
              <w:r>
                <w:rPr>
                  <w:rStyle w:val="InternetLink"/>
                  <w:sz w:val="20"/>
                </w:rPr>
                <w:t>Asset Purchase Agreement, dated October 14, 2024, by and among the Company, Golden Organics, Inc. and David Rickard (incorporated by reference to Exhibit 10.1 of the Company’s Current Report on Form 8-K filed with the SEC on October 18, 2024).</w:t>
              </w:r>
            </w:hyperlink>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left"/>
              <w:rPr>
                <w:sz w:val="20"/>
              </w:rPr>
            </w:pPr>
            <w:r>
              <w:rPr>
                <w:sz w:val="20"/>
              </w:rPr>
              <w:t>10.5</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hyperlink r:id="rId10">
              <w:r>
                <w:rPr>
                  <w:rStyle w:val="InternetLink"/>
                  <w:sz w:val="20"/>
                </w:rPr>
                <w:t>Form of Seller Financing Note (incorporated by reference to Exhibit 10.2 of the Company’s Current Report on Form 8-K filed with the SEC on October 18, 2024).</w:t>
              </w:r>
            </w:hyperlink>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both"/>
              <w:rPr>
                <w:sz w:val="20"/>
              </w:rPr>
            </w:pPr>
            <w:r>
              <w:rPr>
                <w:sz w:val="20"/>
              </w:rPr>
              <w:t>31.1*</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hyperlink w:anchor="ivfhex31-1.htm">
              <w:r>
                <w:rPr>
                  <w:rStyle w:val="InternetLink"/>
                  <w:sz w:val="20"/>
                </w:rPr>
                <w:t>Certification of the Principal Executive Officer pursuant to Rule 13a-14(a) and Rule 15d-14(a) under the Securities Exchange Act of 1934, as adopted pursuant to Section 302 of the Sarbanes-Oxley Act of 2002.</w:t>
              </w:r>
            </w:hyperlink>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both"/>
              <w:rPr>
                <w:sz w:val="20"/>
              </w:rPr>
            </w:pPr>
            <w:r>
              <w:rPr>
                <w:sz w:val="20"/>
              </w:rPr>
              <w:t>31.2*</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hyperlink w:anchor="ivfhex31-2.htm">
              <w:r>
                <w:rPr>
                  <w:rStyle w:val="InternetLink"/>
                  <w:sz w:val="20"/>
                </w:rPr>
                <w:t>Certification of the Principal Financial Officer pursuant to Rule 13a-14(a) and Rule 15d-14(a) under the Securities Exchange Act of 1934, as adopted pursuant to Section 302 of the Sarbanes-Oxley Act of 2002.</w:t>
              </w:r>
            </w:hyperlink>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both"/>
              <w:rPr>
                <w:sz w:val="20"/>
              </w:rPr>
            </w:pPr>
            <w:r>
              <w:rPr>
                <w:sz w:val="20"/>
              </w:rPr>
              <w:t>32.1**</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hyperlink w:anchor="ivfhex32-1.htm">
              <w:r>
                <w:rPr>
                  <w:rStyle w:val="InternetLink"/>
                  <w:sz w:val="20"/>
                </w:rPr>
                <w:t>Certification of the Principal Executive Officer pursuant to 18 U.S.C. 1350, as adopted pursuant to Section 906 of the Sarbanes-Oxley Act of 2002.</w:t>
              </w:r>
            </w:hyperlink>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both"/>
              <w:rPr>
                <w:sz w:val="20"/>
              </w:rPr>
            </w:pPr>
            <w:r>
              <w:rPr>
                <w:sz w:val="20"/>
              </w:rPr>
              <w:t>32.2**</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hyperlink w:anchor="ivfhex32-2.htm">
              <w:r>
                <w:rPr>
                  <w:rStyle w:val="InternetLink"/>
                  <w:sz w:val="20"/>
                </w:rPr>
                <w:t>Certification of the Principal Financial Officer pursuant to 18 U.S.C. 1350, as adopted pursuant to Section 906 of the Sarbanes-Oxley Act of 2002.</w:t>
              </w:r>
            </w:hyperlink>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both"/>
              <w:rPr>
                <w:sz w:val="20"/>
              </w:rPr>
            </w:pPr>
            <w:r>
              <w:rPr>
                <w:sz w:val="20"/>
              </w:rPr>
              <w:t>101.INS*</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sz w:val="20"/>
              </w:rPr>
            </w:pPr>
            <w:r>
              <w:rPr>
                <w:sz w:val="20"/>
              </w:rPr>
              <w:t>Inline XBRL Instance Document</w:t>
            </w:r>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both"/>
              <w:rPr>
                <w:sz w:val="20"/>
              </w:rPr>
            </w:pPr>
            <w:r>
              <w:rPr>
                <w:sz w:val="20"/>
              </w:rPr>
              <w:t>101.SCH*</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sz w:val="20"/>
              </w:rPr>
            </w:pPr>
            <w:r>
              <w:rPr>
                <w:sz w:val="20"/>
              </w:rPr>
              <w:t>Inline XBRL Taxonomy Extension Schema</w:t>
            </w:r>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both"/>
              <w:rPr>
                <w:sz w:val="20"/>
              </w:rPr>
            </w:pPr>
            <w:r>
              <w:rPr>
                <w:sz w:val="20"/>
              </w:rPr>
              <w:t>101.CAL*</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sz w:val="20"/>
              </w:rPr>
            </w:pPr>
            <w:r>
              <w:rPr>
                <w:sz w:val="20"/>
              </w:rPr>
              <w:t>Inline XBRL Taxonomy Extension Calculation Linkbase</w:t>
            </w:r>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both"/>
              <w:rPr>
                <w:sz w:val="20"/>
              </w:rPr>
            </w:pPr>
            <w:r>
              <w:rPr>
                <w:sz w:val="20"/>
              </w:rPr>
              <w:t>101.DEF*</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sz w:val="20"/>
              </w:rPr>
            </w:pPr>
            <w:r>
              <w:rPr>
                <w:sz w:val="20"/>
              </w:rPr>
              <w:t>Inline XBRL Taxonomy Extension Definition Linkbase</w:t>
            </w:r>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both"/>
              <w:rPr>
                <w:sz w:val="20"/>
              </w:rPr>
            </w:pPr>
            <w:r>
              <w:rPr>
                <w:sz w:val="20"/>
              </w:rPr>
              <w:t>101.LAB*</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sz w:val="20"/>
              </w:rPr>
            </w:pPr>
            <w:r>
              <w:rPr>
                <w:sz w:val="20"/>
              </w:rPr>
              <w:t>Inline XBRL Taxonomy Extension Label Linkbase</w:t>
            </w:r>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both"/>
              <w:rPr>
                <w:sz w:val="20"/>
              </w:rPr>
            </w:pPr>
            <w:r>
              <w:rPr>
                <w:sz w:val="20"/>
              </w:rPr>
              <w:t>101.PRE*</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sz w:val="20"/>
              </w:rPr>
            </w:pPr>
            <w:r>
              <w:rPr>
                <w:sz w:val="20"/>
              </w:rPr>
              <w:t>Inline XBRL Taxonomy Extension Presentation Linkbase</w:t>
            </w:r>
          </w:p>
        </w:tc>
      </w:tr>
      <w:tr>
        <w:trPr/>
        <w:tc>
          <w:tcPr>
            <w:tcW w:w="63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left"/>
              <w:rPr>
                <w:sz w:val="20"/>
              </w:rPr>
            </w:pPr>
            <w:r>
              <w:rPr>
                <w:sz w:val="20"/>
              </w:rPr>
              <w:t>104*</w:t>
            </w:r>
          </w:p>
        </w:tc>
        <w:tc>
          <w:tcPr>
            <w:tcW w:w="90" w:type="dxa"/>
            <w:tcBorders/>
            <w:vAlign w:val="center"/>
          </w:tcPr>
          <w:p>
            <w:pPr>
              <w:pStyle w:val="TableContents"/>
              <w:bidi w:val="0"/>
              <w:spacing w:before="0" w:after="283"/>
              <w:jc w:val="left"/>
              <w:rPr/>
            </w:pPr>
            <w:r>
              <w:rPr/>
              <w:t> </w:t>
            </w:r>
          </w:p>
        </w:tc>
        <w:tc>
          <w:tcPr>
            <w:tcW w:w="9483" w:type="dxa"/>
            <w:tcBorders/>
            <w:vAlign w:val="center"/>
          </w:tcPr>
          <w:p>
            <w:pPr>
              <w:pStyle w:val="TableContents"/>
              <w:bidi w:val="0"/>
              <w:spacing w:before="0" w:after="283"/>
              <w:jc w:val="both"/>
              <w:rPr>
                <w:sz w:val="20"/>
              </w:rPr>
            </w:pPr>
            <w:r>
              <w:rPr>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68"/>
        <w:gridCol w:w="155"/>
        <w:gridCol w:w="1310"/>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w:t>
            </w:r>
          </w:p>
        </w:tc>
        <w:tc>
          <w:tcPr>
            <w:tcW w:w="131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68"/>
        <w:gridCol w:w="260"/>
        <w:gridCol w:w="170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20"/>
              </w:rPr>
            </w:pPr>
            <w:r>
              <w:rPr>
                <w:sz w:val="20"/>
              </w:rPr>
              <w:t>**</w:t>
            </w:r>
          </w:p>
        </w:tc>
        <w:tc>
          <w:tcPr>
            <w:tcW w:w="1700" w:type="dxa"/>
            <w:tcBorders/>
            <w:vAlign w:val="center"/>
          </w:tcPr>
          <w:p>
            <w:pPr>
              <w:pStyle w:val="TableContents"/>
              <w:bidi w:val="0"/>
              <w:spacing w:before="0" w:after="283"/>
              <w:jc w:val="both"/>
              <w:rPr>
                <w:sz w:val="20"/>
              </w:rPr>
            </w:pPr>
            <w:r>
              <w:rPr>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w:t>
            </w:r>
          </w:p>
        </w:tc>
        <w:tc>
          <w:tcPr>
            <w:tcW w:w="9982" w:type="dxa"/>
            <w:tcBorders/>
            <w:vAlign w:val="center"/>
          </w:tcPr>
          <w:p>
            <w:pPr>
              <w:pStyle w:val="TableContents"/>
              <w:bidi w:val="0"/>
              <w:spacing w:before="0" w:after="283"/>
              <w:jc w:val="both"/>
              <w:rPr>
                <w:sz w:val="20"/>
              </w:rPr>
            </w:pPr>
            <w:r>
              <w:rPr>
                <w:sz w:val="20"/>
              </w:rPr>
              <w:t>Certain portions of this exhibit are omitted pursuant to Item 601(b)(10)(iv) of Regulation S-K because they are not material and are the type that the Company treats as private or confidential. The Company hereby agrees to furnish a copy of any omitted portion to the SEC upon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w:t>
            </w:r>
          </w:p>
        </w:tc>
        <w:tc>
          <w:tcPr>
            <w:tcW w:w="9997" w:type="dxa"/>
            <w:tcBorders/>
            <w:vAlign w:val="center"/>
          </w:tcPr>
          <w:p>
            <w:pPr>
              <w:pStyle w:val="TableContents"/>
              <w:bidi w:val="0"/>
              <w:spacing w:before="0" w:after="283"/>
              <w:jc w:val="both"/>
              <w:rPr>
                <w:sz w:val="20"/>
              </w:rPr>
            </w:pPr>
            <w:r>
              <w:rPr>
                <w:sz w:val="20"/>
              </w:rPr>
              <w:t>Certain portions of the exhibit have been omitted pursuant to Item 601(a)(6) of Regulation S-K. The Company hereby agrees to furnish a copy of any omitted portion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hyperlink w:anchor="TableOfContents">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0" w:type="dxa"/>
          <w:left w:w="0" w:type="dxa"/>
          <w:bottom w:w="28" w:type="dxa"/>
          <w:right w:w="0" w:type="dxa"/>
        </w:tblCellMar>
      </w:tblPr>
      <w:tblGrid>
        <w:gridCol w:w="2255"/>
        <w:gridCol w:w="90"/>
        <w:gridCol w:w="3665"/>
        <w:gridCol w:w="90"/>
        <w:gridCol w:w="1445"/>
      </w:tblGrid>
      <w:tr>
        <w:trPr/>
        <w:tc>
          <w:tcPr>
            <w:tcW w:w="2255" w:type="dxa"/>
            <w:tcBorders>
              <w:bottom w:val="single" w:sz="8" w:space="0" w:color="000000"/>
            </w:tcBorders>
            <w:vAlign w:val="center"/>
          </w:tcPr>
          <w:p>
            <w:pPr>
              <w:pStyle w:val="TableContents"/>
              <w:bidi w:val="0"/>
              <w:spacing w:before="0" w:after="283"/>
              <w:jc w:val="left"/>
              <w:rPr>
                <w:b/>
                <w:sz w:val="20"/>
              </w:rPr>
            </w:pPr>
            <w:r>
              <w:rPr>
                <w:b/>
                <w:sz w:val="20"/>
              </w:rPr>
              <w:t>SIGNATURE</w:t>
            </w:r>
          </w:p>
        </w:tc>
        <w:tc>
          <w:tcPr>
            <w:tcW w:w="90" w:type="dxa"/>
            <w:tcBorders/>
            <w:tcMar>
              <w:bottom w:w="0" w:type="dxa"/>
            </w:tcMar>
            <w:vAlign w:val="center"/>
          </w:tcPr>
          <w:p>
            <w:pPr>
              <w:pStyle w:val="TableContents"/>
              <w:bidi w:val="0"/>
              <w:spacing w:before="0" w:after="283"/>
              <w:jc w:val="left"/>
              <w:rPr/>
            </w:pPr>
            <w:r>
              <w:rPr/>
              <w:t> </w:t>
            </w:r>
          </w:p>
        </w:tc>
        <w:tc>
          <w:tcPr>
            <w:tcW w:w="3665" w:type="dxa"/>
            <w:tcBorders>
              <w:bottom w:val="single" w:sz="8" w:space="0" w:color="000000"/>
            </w:tcBorders>
            <w:vAlign w:val="center"/>
          </w:tcPr>
          <w:p>
            <w:pPr>
              <w:pStyle w:val="TableContents"/>
              <w:bidi w:val="0"/>
              <w:spacing w:before="0" w:after="283"/>
              <w:jc w:val="left"/>
              <w:rPr>
                <w:b/>
                <w:sz w:val="20"/>
              </w:rPr>
            </w:pPr>
            <w:r>
              <w:rPr>
                <w:b/>
                <w:sz w:val="20"/>
              </w:rPr>
              <w:t>TITLE</w:t>
            </w:r>
          </w:p>
        </w:tc>
        <w:tc>
          <w:tcPr>
            <w:tcW w:w="90" w:type="dxa"/>
            <w:tcBorders/>
            <w:tcMar>
              <w:bottom w:w="0" w:type="dxa"/>
            </w:tcMar>
            <w:vAlign w:val="center"/>
          </w:tcPr>
          <w:p>
            <w:pPr>
              <w:pStyle w:val="TableContents"/>
              <w:bidi w:val="0"/>
              <w:spacing w:before="0" w:after="283"/>
              <w:jc w:val="left"/>
              <w:rPr/>
            </w:pPr>
            <w:r>
              <w:rPr/>
              <w:t> </w:t>
            </w:r>
          </w:p>
        </w:tc>
        <w:tc>
          <w:tcPr>
            <w:tcW w:w="1445" w:type="dxa"/>
            <w:tcBorders>
              <w:bottom w:val="single" w:sz="8" w:space="0" w:color="000000"/>
            </w:tcBorders>
            <w:vAlign w:val="center"/>
          </w:tcPr>
          <w:p>
            <w:pPr>
              <w:pStyle w:val="TableContents"/>
              <w:bidi w:val="0"/>
              <w:spacing w:before="0" w:after="283"/>
              <w:jc w:val="left"/>
              <w:rPr>
                <w:b/>
                <w:sz w:val="20"/>
              </w:rPr>
            </w:pPr>
            <w:r>
              <w:rPr>
                <w:b/>
                <w:sz w:val="20"/>
              </w:rPr>
              <w:t>DATE</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8" w:space="0" w:color="000000"/>
            </w:tcBorders>
            <w:vAlign w:val="center"/>
          </w:tcPr>
          <w:p>
            <w:pPr>
              <w:pStyle w:val="TableContents"/>
              <w:bidi w:val="0"/>
              <w:spacing w:before="0" w:after="283"/>
              <w:jc w:val="left"/>
              <w:rPr>
                <w:sz w:val="20"/>
              </w:rPr>
            </w:pPr>
            <w:r>
              <w:rPr>
                <w:sz w:val="20"/>
              </w:rPr>
              <w:t>/s/ Robert William Bennett</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left"/>
              <w:rPr>
                <w:sz w:val="20"/>
              </w:rPr>
            </w:pPr>
            <w:r>
              <w:rPr>
                <w:sz w:val="20"/>
              </w:rPr>
              <w:t>Chief Executive Officer and Director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sz w:val="20"/>
              </w:rPr>
            </w:pPr>
            <w:r>
              <w:rPr>
                <w:sz w:val="20"/>
              </w:rPr>
              <w:t>August 13, 2025</w:t>
            </w:r>
          </w:p>
        </w:tc>
      </w:tr>
      <w:tr>
        <w:trPr/>
        <w:tc>
          <w:tcPr>
            <w:tcW w:w="2255" w:type="dxa"/>
            <w:tcBorders/>
            <w:tcMar>
              <w:bottom w:w="0" w:type="dxa"/>
            </w:tcMar>
            <w:vAlign w:val="center"/>
          </w:tcPr>
          <w:p>
            <w:pPr>
              <w:pStyle w:val="TableContents"/>
              <w:bidi w:val="0"/>
              <w:spacing w:before="0" w:after="283"/>
              <w:jc w:val="left"/>
              <w:rPr>
                <w:sz w:val="20"/>
              </w:rPr>
            </w:pPr>
            <w:r>
              <w:rPr>
                <w:sz w:val="20"/>
              </w:rPr>
              <w:t>Robert William Bennett</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left"/>
              <w:rPr>
                <w:sz w:val="20"/>
              </w:rPr>
            </w:pPr>
            <w:r>
              <w:rPr>
                <w:sz w:val="20"/>
              </w:rPr>
              <w:t>(Principal Executive Officer)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8" w:space="0" w:color="000000"/>
            </w:tcBorders>
            <w:vAlign w:val="center"/>
          </w:tcPr>
          <w:p>
            <w:pPr>
              <w:pStyle w:val="TableContents"/>
              <w:bidi w:val="0"/>
              <w:spacing w:before="0" w:after="283"/>
              <w:jc w:val="left"/>
              <w:rPr>
                <w:sz w:val="20"/>
              </w:rPr>
            </w:pPr>
            <w:r>
              <w:rPr>
                <w:sz w:val="20"/>
              </w:rPr>
              <w:t>/s/ Gary Schubert</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left"/>
              <w:rPr>
                <w:sz w:val="20"/>
              </w:rPr>
            </w:pPr>
            <w:r>
              <w:rPr>
                <w:sz w:val="20"/>
              </w:rPr>
              <w:t>Chief Financial Officer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sz w:val="20"/>
              </w:rPr>
            </w:pPr>
            <w:r>
              <w:rPr>
                <w:sz w:val="20"/>
              </w:rPr>
              <w:t>August 13, 2025</w:t>
            </w:r>
          </w:p>
        </w:tc>
      </w:tr>
      <w:tr>
        <w:trPr/>
        <w:tc>
          <w:tcPr>
            <w:tcW w:w="2255" w:type="dxa"/>
            <w:tcBorders/>
            <w:tcMar>
              <w:bottom w:w="0" w:type="dxa"/>
            </w:tcMar>
            <w:vAlign w:val="center"/>
          </w:tcPr>
          <w:p>
            <w:pPr>
              <w:pStyle w:val="TableContents"/>
              <w:bidi w:val="0"/>
              <w:spacing w:before="0" w:after="283"/>
              <w:jc w:val="left"/>
              <w:rPr>
                <w:sz w:val="20"/>
              </w:rPr>
            </w:pPr>
            <w:r>
              <w:rPr>
                <w:sz w:val="20"/>
              </w:rPr>
              <w:t>Gary Schubert</w:t>
            </w:r>
          </w:p>
        </w:tc>
        <w:tc>
          <w:tcPr>
            <w:tcW w:w="90" w:type="dxa"/>
            <w:tcBorders/>
            <w:tcMar>
              <w:bottom w:w="0" w:type="dxa"/>
            </w:tcMar>
            <w:vAlign w:val="center"/>
          </w:tcPr>
          <w:p>
            <w:pPr>
              <w:pStyle w:val="TableContents"/>
              <w:bidi w:val="0"/>
              <w:spacing w:before="0" w:after="283"/>
              <w:jc w:val="left"/>
              <w:rPr/>
            </w:pPr>
            <w:r>
              <w:rPr/>
              <w:t> </w:t>
            </w:r>
          </w:p>
        </w:tc>
        <w:tc>
          <w:tcPr>
            <w:tcW w:w="3665" w:type="dxa"/>
            <w:tcBorders/>
            <w:tcMar>
              <w:bottom w:w="0" w:type="dxa"/>
            </w:tcMar>
            <w:vAlign w:val="center"/>
          </w:tcPr>
          <w:p>
            <w:pPr>
              <w:pStyle w:val="TableContents"/>
              <w:bidi w:val="0"/>
              <w:spacing w:before="0" w:after="283"/>
              <w:jc w:val="left"/>
              <w:rPr>
                <w:sz w:val="20"/>
              </w:rPr>
            </w:pPr>
            <w:r>
              <w:rPr>
                <w:sz w:val="20"/>
              </w:rPr>
              <w:t>(Principal Financial and Accounting Officer)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1" w:name="ivfhex31-1.htm"/>
      <w:bookmarkStart w:id="22" w:name="ksivfhex311"/>
      <w:bookmarkEnd w:id="21"/>
      <w:bookmarkEnd w:id="22"/>
      <w:r>
        <w:rPr>
          <w:rFonts w:ascii="Times New Roman;Times;Serif" w:hAnsi="Times New Roman;Times;Serif"/>
          <w:b/>
          <w:i w:val="false"/>
          <w:caps w:val="false"/>
          <w:smallCaps w:val="false"/>
          <w:sz w:val="20"/>
        </w:rPr>
        <w:t>Exhibit 31.1</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ind w:left="16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William Bennett, certify that:</w:t>
      </w:r>
    </w:p>
    <w:p>
      <w:pPr>
        <w:pStyle w:val="TextBody"/>
        <w:bidi w:val="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6980" w:type="dxa"/>
            <w:tcBorders/>
            <w:vAlign w:val="center"/>
          </w:tcPr>
          <w:p>
            <w:pPr>
              <w:pStyle w:val="TableContents"/>
              <w:bidi w:val="0"/>
              <w:spacing w:before="0" w:after="283"/>
              <w:jc w:val="both"/>
              <w:rPr>
                <w:sz w:val="20"/>
              </w:rPr>
            </w:pPr>
            <w:r>
              <w:rPr>
                <w:sz w:val="20"/>
              </w:rPr>
              <w:t>I have reviewed this quarterly report on Form 10-Q of Innovative Food Holdings, Inc.;</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20"/>
              </w:rPr>
            </w:pPr>
            <w:r>
              <w:rPr>
                <w:sz w:val="20"/>
              </w:rPr>
              <w:t>2.</w:t>
            </w:r>
          </w:p>
        </w:tc>
        <w:tc>
          <w:tcPr>
            <w:tcW w:w="10025"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3.</w:t>
            </w:r>
          </w:p>
        </w:tc>
        <w:tc>
          <w:tcPr>
            <w:tcW w:w="10023"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4.</w:t>
            </w:r>
          </w:p>
        </w:tc>
        <w:tc>
          <w:tcPr>
            <w:tcW w:w="10026"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20"/>
              </w:rPr>
            </w:pPr>
            <w:r>
              <w:rPr>
                <w:sz w:val="20"/>
              </w:rPr>
              <w:t>a)</w:t>
            </w:r>
          </w:p>
        </w:tc>
        <w:tc>
          <w:tcPr>
            <w:tcW w:w="10001"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20"/>
              </w:rPr>
            </w:pPr>
            <w:r>
              <w:rPr>
                <w:sz w:val="20"/>
              </w:rPr>
              <w:t>b)</w:t>
            </w:r>
          </w:p>
        </w:tc>
        <w:tc>
          <w:tcPr>
            <w:tcW w:w="998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20"/>
              </w:rPr>
            </w:pPr>
            <w:r>
              <w:rPr>
                <w:sz w:val="20"/>
              </w:rPr>
              <w:t>c)</w:t>
            </w:r>
          </w:p>
        </w:tc>
        <w:tc>
          <w:tcPr>
            <w:tcW w:w="999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20"/>
              </w:rPr>
            </w:pPr>
            <w:r>
              <w:rPr>
                <w:sz w:val="20"/>
              </w:rPr>
              <w:t>d)</w:t>
            </w:r>
          </w:p>
        </w:tc>
        <w:tc>
          <w:tcPr>
            <w:tcW w:w="9986"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20"/>
              </w:rPr>
            </w:pPr>
            <w:r>
              <w:rPr>
                <w:sz w:val="20"/>
              </w:rPr>
              <w:t>5.</w:t>
            </w:r>
          </w:p>
        </w:tc>
        <w:tc>
          <w:tcPr>
            <w:tcW w:w="10024"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20"/>
              </w:rPr>
            </w:pPr>
            <w:r>
              <w:rPr>
                <w:sz w:val="20"/>
              </w:rPr>
              <w:t>a)</w:t>
            </w:r>
          </w:p>
        </w:tc>
        <w:tc>
          <w:tcPr>
            <w:tcW w:w="9991"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which are reasonably likely to adversely affect the registrant’s ability to record, process, summarize and report financial information;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20"/>
              </w:rPr>
            </w:pPr>
            <w:r>
              <w:rPr>
                <w:sz w:val="20"/>
              </w:rPr>
              <w:t>b)</w:t>
            </w:r>
          </w:p>
        </w:tc>
        <w:tc>
          <w:tcPr>
            <w:tcW w:w="996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2360"/>
        <w:gridCol w:w="75"/>
      </w:tblGrid>
      <w:tr>
        <w:trPr/>
        <w:tc>
          <w:tcPr>
            <w:tcW w:w="2360" w:type="dxa"/>
            <w:tcBorders/>
            <w:vAlign w:val="center"/>
          </w:tcPr>
          <w:p>
            <w:pPr>
              <w:pStyle w:val="TableContents"/>
              <w:bidi w:val="0"/>
              <w:spacing w:before="0" w:after="283"/>
              <w:jc w:val="left"/>
              <w:rPr>
                <w:sz w:val="20"/>
              </w:rPr>
            </w:pPr>
            <w:r>
              <w:rPr>
                <w:sz w:val="20"/>
              </w:rPr>
              <w:t>Date: August 13, 2025</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6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Robert William Bennett</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sz w:val="20"/>
              </w:rPr>
            </w:pPr>
            <w:r>
              <w:rPr>
                <w:sz w:val="20"/>
              </w:rPr>
              <w:t xml:space="preserve">Robert William Bennett, </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sz w:val="20"/>
              </w:rPr>
            </w:pPr>
            <w:r>
              <w:rPr>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3" w:name="ivfhex31-2.htm"/>
      <w:bookmarkStart w:id="24" w:name="ksivfhex312"/>
      <w:bookmarkEnd w:id="23"/>
      <w:bookmarkEnd w:id="24"/>
      <w:r>
        <w:rPr>
          <w:rFonts w:ascii="Times New Roman;Times;Serif" w:hAnsi="Times New Roman;Times;Serif"/>
          <w:b/>
          <w:i w:val="false"/>
          <w:caps w:val="false"/>
          <w:smallCaps w:val="false"/>
          <w:sz w:val="20"/>
        </w:rPr>
        <w:t>Exhibit 31.2</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13a-14(a) AND RULE 15d-14(a) UNDER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Gary Schubert, certify that:</w:t>
      </w:r>
    </w:p>
    <w:p>
      <w:pPr>
        <w:pStyle w:val="TextBody"/>
        <w:bidi w:val="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6980" w:type="dxa"/>
            <w:tcBorders/>
            <w:vAlign w:val="center"/>
          </w:tcPr>
          <w:p>
            <w:pPr>
              <w:pStyle w:val="TableContents"/>
              <w:bidi w:val="0"/>
              <w:spacing w:before="0" w:after="283"/>
              <w:jc w:val="both"/>
              <w:rPr>
                <w:sz w:val="20"/>
              </w:rPr>
            </w:pPr>
            <w:r>
              <w:rPr>
                <w:sz w:val="20"/>
              </w:rPr>
              <w:t>I have reviewed this quarterly report on Form 10-Q of Innovative Food Holdings, Inc.;</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20"/>
              </w:rPr>
            </w:pPr>
            <w:r>
              <w:rPr>
                <w:sz w:val="20"/>
              </w:rPr>
              <w:t>2.</w:t>
            </w:r>
          </w:p>
        </w:tc>
        <w:tc>
          <w:tcPr>
            <w:tcW w:w="10025"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3.</w:t>
            </w:r>
          </w:p>
        </w:tc>
        <w:tc>
          <w:tcPr>
            <w:tcW w:w="10023"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4.</w:t>
            </w:r>
          </w:p>
        </w:tc>
        <w:tc>
          <w:tcPr>
            <w:tcW w:w="10026" w:type="dxa"/>
            <w:tcBorders/>
            <w:vAlign w:val="center"/>
          </w:tcPr>
          <w:p>
            <w:pPr>
              <w:pStyle w:val="TableContents"/>
              <w:bidi w:val="0"/>
              <w:spacing w:before="0" w:after="283"/>
              <w:jc w:val="both"/>
              <w:rPr>
                <w:sz w:val="20"/>
              </w:rPr>
            </w:pPr>
            <w:r>
              <w:rPr>
                <w:sz w:val="20"/>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20"/>
              </w:rPr>
            </w:pPr>
            <w:r>
              <w:rPr>
                <w:sz w:val="20"/>
              </w:rPr>
              <w:t>a)</w:t>
            </w:r>
          </w:p>
        </w:tc>
        <w:tc>
          <w:tcPr>
            <w:tcW w:w="10001"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20"/>
              </w:rPr>
            </w:pPr>
            <w:r>
              <w:rPr>
                <w:sz w:val="20"/>
              </w:rPr>
              <w:t>b)</w:t>
            </w:r>
          </w:p>
        </w:tc>
        <w:tc>
          <w:tcPr>
            <w:tcW w:w="998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20"/>
              </w:rPr>
            </w:pPr>
            <w:r>
              <w:rPr>
                <w:sz w:val="20"/>
              </w:rPr>
              <w:t>c)</w:t>
            </w:r>
          </w:p>
        </w:tc>
        <w:tc>
          <w:tcPr>
            <w:tcW w:w="9995" w:type="dxa"/>
            <w:tcBorders/>
            <w:vAlign w:val="center"/>
          </w:tcPr>
          <w:p>
            <w:pPr>
              <w:pStyle w:val="TableContents"/>
              <w:bidi w:val="0"/>
              <w:spacing w:before="0" w:after="283"/>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20"/>
              </w:rPr>
            </w:pPr>
            <w:r>
              <w:rPr>
                <w:sz w:val="20"/>
              </w:rPr>
              <w:t>d)</w:t>
            </w:r>
          </w:p>
        </w:tc>
        <w:tc>
          <w:tcPr>
            <w:tcW w:w="9986" w:type="dxa"/>
            <w:tcBorders/>
            <w:vAlign w:val="center"/>
          </w:tcPr>
          <w:p>
            <w:pPr>
              <w:pStyle w:val="TableContents"/>
              <w:bidi w:val="0"/>
              <w:spacing w:before="0" w:after="283"/>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20"/>
              </w:rPr>
            </w:pPr>
            <w:r>
              <w:rPr>
                <w:sz w:val="20"/>
              </w:rPr>
              <w:t>5.</w:t>
            </w:r>
          </w:p>
        </w:tc>
        <w:tc>
          <w:tcPr>
            <w:tcW w:w="10024" w:type="dxa"/>
            <w:tcBorders/>
            <w:vAlign w:val="center"/>
          </w:tcPr>
          <w:p>
            <w:pPr>
              <w:pStyle w:val="TableContents"/>
              <w:bidi w:val="0"/>
              <w:spacing w:before="0" w:after="283"/>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20"/>
              </w:rPr>
            </w:pPr>
            <w:r>
              <w:rPr>
                <w:sz w:val="20"/>
              </w:rPr>
              <w:t>a)</w:t>
            </w:r>
          </w:p>
        </w:tc>
        <w:tc>
          <w:tcPr>
            <w:tcW w:w="9991"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which are reasonably likely to adversely affect the registrant’s ability to record, process, summarize and report financial information;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20"/>
              </w:rPr>
            </w:pPr>
            <w:r>
              <w:rPr>
                <w:sz w:val="20"/>
              </w:rPr>
              <w:t>b)</w:t>
            </w:r>
          </w:p>
        </w:tc>
        <w:tc>
          <w:tcPr>
            <w:tcW w:w="996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2300"/>
        <w:gridCol w:w="75"/>
      </w:tblGrid>
      <w:tr>
        <w:trPr/>
        <w:tc>
          <w:tcPr>
            <w:tcW w:w="2300" w:type="dxa"/>
            <w:tcBorders/>
            <w:vAlign w:val="center"/>
          </w:tcPr>
          <w:p>
            <w:pPr>
              <w:pStyle w:val="TableContents"/>
              <w:bidi w:val="0"/>
              <w:spacing w:before="0" w:after="283"/>
              <w:jc w:val="left"/>
              <w:rPr>
                <w:sz w:val="20"/>
              </w:rPr>
            </w:pPr>
            <w:r>
              <w:rPr>
                <w:sz w:val="20"/>
              </w:rPr>
              <w:t>Date: August 13, 2025</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Gary Schubert</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20"/>
              </w:rPr>
            </w:pPr>
            <w:r>
              <w:rPr>
                <w:sz w:val="20"/>
              </w:rPr>
              <w:t xml:space="preserve">Gary Schubert,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sz w:val="20"/>
              </w:rPr>
            </w:pPr>
            <w:r>
              <w:rPr>
                <w:sz w:val="20"/>
              </w:rPr>
              <w:t>(Principal Financial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5" w:name="ivfhex32-1.htm"/>
      <w:bookmarkStart w:id="26" w:name="ksivfhex321"/>
      <w:bookmarkEnd w:id="25"/>
      <w:bookmarkEnd w:id="26"/>
      <w:r>
        <w:rPr>
          <w:rFonts w:ascii="Times New Roman;Times;Serif" w:hAnsi="Times New Roman;Times;Serif"/>
          <w:b/>
          <w:i w:val="false"/>
          <w:caps w:val="false"/>
          <w:smallCaps w:val="false"/>
          <w:sz w:val="20"/>
        </w:rPr>
        <w:t>Exhibit 32.1</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 OXLEY ACT OF 2002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Innovative Food Holdings, Inc. (the “Company”) on Form 10-Q for the period ended June 30, 2025 as filed with the Securities and Exchange Commission on the date hereof (the “Report”), I, Robert William Bennett, Chief Executive Officer of the Company, certify, pursuant to 18 U.S.C. Section 1350, as adopted pursuant to Section 906 of the Sarbanes-Oxley Act of 2002, that to the best of my knowledge:</w:t>
      </w:r>
    </w:p>
    <w:p>
      <w:pPr>
        <w:pStyle w:val="TextBody"/>
        <w:bidi w:val="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4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957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20"/>
              </w:rPr>
            </w:pPr>
            <w:r>
              <w:rPr>
                <w:sz w:val="20"/>
              </w:rPr>
              <w:t>(2)</w:t>
            </w:r>
          </w:p>
        </w:tc>
        <w:tc>
          <w:tcPr>
            <w:tcW w:w="9932"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 of operations of the Company.</w:t>
            </w:r>
          </w:p>
        </w:tc>
      </w:tr>
    </w:tbl>
    <w:p>
      <w:pPr>
        <w:pStyle w:val="TextBody"/>
        <w:bidi w:val="0"/>
        <w:jc w:val="left"/>
        <w:rPr>
          <w:caps w:val="false"/>
          <w:smallCaps w:val="false"/>
        </w:rPr>
      </w:pPr>
      <w:r>
        <w:rPr>
          <w:caps w:val="false"/>
          <w:smallCaps w:val="false"/>
        </w:rPr>
        <w:t> </w:t>
      </w:r>
    </w:p>
    <w:tbl>
      <w:tblPr>
        <w:tblW w:w="2435" w:type="dxa"/>
        <w:jc w:val="left"/>
        <w:tblInd w:w="0" w:type="dxa"/>
        <w:tblLayout w:type="fixed"/>
        <w:tblCellMar>
          <w:top w:w="0" w:type="dxa"/>
          <w:left w:w="0" w:type="dxa"/>
          <w:bottom w:w="28" w:type="dxa"/>
          <w:right w:w="0" w:type="dxa"/>
        </w:tblCellMar>
      </w:tblPr>
      <w:tblGrid>
        <w:gridCol w:w="2360"/>
        <w:gridCol w:w="75"/>
      </w:tblGrid>
      <w:tr>
        <w:trPr/>
        <w:tc>
          <w:tcPr>
            <w:tcW w:w="2360" w:type="dxa"/>
            <w:tcBorders>
              <w:bottom w:val="single" w:sz="8" w:space="0" w:color="000000"/>
            </w:tcBorders>
            <w:vAlign w:val="center"/>
          </w:tcPr>
          <w:p>
            <w:pPr>
              <w:pStyle w:val="TableContents"/>
              <w:bidi w:val="0"/>
              <w:spacing w:before="0" w:after="283"/>
              <w:jc w:val="left"/>
              <w:rPr>
                <w:sz w:val="20"/>
              </w:rPr>
            </w:pPr>
            <w:r>
              <w:rPr>
                <w:sz w:val="20"/>
              </w:rPr>
              <w:t>/s/ Robert William Bennett</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Robert William Bennett</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Chief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(Principal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August 13, 2025</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7" w:name="ivfhex32-2.htm"/>
      <w:bookmarkStart w:id="28" w:name="ksivfhex322"/>
      <w:bookmarkEnd w:id="27"/>
      <w:bookmarkEnd w:id="28"/>
      <w:r>
        <w:rPr>
          <w:rFonts w:ascii="Times New Roman;Times;Serif" w:hAnsi="Times New Roman;Times;Serif"/>
          <w:b/>
          <w:i w:val="false"/>
          <w:caps w:val="false"/>
          <w:smallCaps w:val="false"/>
          <w:sz w:val="20"/>
        </w:rPr>
        <w:t>Exhibit 32.2</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 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Innovative Food Holdings, Inc. (the “Company”) on Form 10-Q for the period ended June 30, 2025 as filed with the Securities and Exchange Commission on the date hereof (the “Report”), I, Gary Schubert, Chief Financial Officer of the Company, certify, pursuant to 18 U.S.C. Section 1350, as adopted pursuant to Section 906 of the Sarbanes-Oxley Act of 2002, that to the best of my knowledge:</w:t>
      </w:r>
    </w:p>
    <w:p>
      <w:pPr>
        <w:pStyle w:val="TextBody"/>
        <w:bidi w:val="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4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957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20"/>
              </w:rPr>
            </w:pPr>
            <w:r>
              <w:rPr>
                <w:sz w:val="20"/>
              </w:rPr>
              <w:t>(2)</w:t>
            </w:r>
          </w:p>
        </w:tc>
        <w:tc>
          <w:tcPr>
            <w:tcW w:w="9932"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 of operations of the Company.</w:t>
            </w:r>
          </w:p>
        </w:tc>
      </w:tr>
    </w:tbl>
    <w:p>
      <w:pPr>
        <w:pStyle w:val="TextBody"/>
        <w:bidi w:val="0"/>
        <w:jc w:val="left"/>
        <w:rPr>
          <w:caps w:val="false"/>
          <w:smallCaps w:val="false"/>
        </w:rPr>
      </w:pPr>
      <w:r>
        <w:rPr>
          <w:caps w:val="false"/>
          <w:smallCaps w:val="false"/>
        </w:rPr>
        <w:t> </w:t>
      </w:r>
    </w:p>
    <w:tbl>
      <w:tblPr>
        <w:tblW w:w="2375" w:type="dxa"/>
        <w:jc w:val="left"/>
        <w:tblInd w:w="0" w:type="dxa"/>
        <w:tblLayout w:type="fixed"/>
        <w:tblCellMar>
          <w:top w:w="0" w:type="dxa"/>
          <w:left w:w="0" w:type="dxa"/>
          <w:bottom w:w="28" w:type="dxa"/>
          <w:right w:w="0" w:type="dxa"/>
        </w:tblCellMar>
      </w:tblPr>
      <w:tblGrid>
        <w:gridCol w:w="2300"/>
        <w:gridCol w:w="75"/>
      </w:tblGrid>
      <w:tr>
        <w:trPr/>
        <w:tc>
          <w:tcPr>
            <w:tcW w:w="2300" w:type="dxa"/>
            <w:tcBorders>
              <w:bottom w:val="single" w:sz="8" w:space="0" w:color="000000"/>
            </w:tcBorders>
            <w:vAlign w:val="center"/>
          </w:tcPr>
          <w:p>
            <w:pPr>
              <w:pStyle w:val="TableContents"/>
              <w:bidi w:val="0"/>
              <w:spacing w:before="0" w:after="283"/>
              <w:jc w:val="left"/>
              <w:rPr>
                <w:sz w:val="20"/>
              </w:rPr>
            </w:pPr>
            <w:r>
              <w:rPr>
                <w:sz w:val="20"/>
              </w:rPr>
              <w:t>/s/ Gary Schubert</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Gary Schubert</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Chief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(Principal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August 13, 2025</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312257/000114420405030172/v025859_ex3-1.htm" TargetMode="External"/><Relationship Id="rId4" Type="http://schemas.openxmlformats.org/officeDocument/2006/relationships/hyperlink" Target="https://www.sec.gov/Archives/edgar/data/312257/000118518511000325/ex3-2.htm" TargetMode="External"/><Relationship Id="rId5" Type="http://schemas.openxmlformats.org/officeDocument/2006/relationships/hyperlink" Target="https://www.sec.gov/Archives/edgar/data/312257/000118518523000204/ex_488087.htm" TargetMode="External"/><Relationship Id="rId6" Type="http://schemas.openxmlformats.org/officeDocument/2006/relationships/hyperlink" Target="https://www.sec.gov/Archives/edgar/data/312257/000118518524000784/ex_711079.htm" TargetMode="External"/><Relationship Id="rId7" Type="http://schemas.openxmlformats.org/officeDocument/2006/relationships/hyperlink" Target="https://www.sec.gov/Archives/edgar/data/312257/000118518524000868/ex_721326.htm" TargetMode="External"/><Relationship Id="rId8" Type="http://schemas.openxmlformats.org/officeDocument/2006/relationships/hyperlink" Target="https://www.sec.gov/Archives/edgar/data/312257/000118518524000868/ex_721327.htm" TargetMode="External"/><Relationship Id="rId9" Type="http://schemas.openxmlformats.org/officeDocument/2006/relationships/hyperlink" Target="https://www.sec.gov/Archives/edgar/data/312257/000118518524001009/ex_734542.htm" TargetMode="External"/><Relationship Id="rId10" Type="http://schemas.openxmlformats.org/officeDocument/2006/relationships/hyperlink" Target="https://www.sec.gov/Archives/edgar/data/312257/000118518524001009/ex_734543.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20957</Words>
  <Characters>109869</Characters>
  <CharactersWithSpaces>133248</CharactersWithSpaces>
  <Paragraphs>8840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