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177165</wp:posOffset>
            </wp:positionV>
            <wp:extent cx="720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ind w:left="3820" w:right="1960" w:hanging="1846"/>
        <w:spacing w:after="0" w:line="282" w:lineRule="auto"/>
        <w:tabs>
          <w:tab w:leader="none" w:pos="223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and Exchange Act of 1934 For the quarterly period ended </w:t>
      </w:r>
      <w:r>
        <w:rPr>
          <w:rFonts w:ascii="Arial" w:cs="Arial" w:eastAsia="Arial" w:hAnsi="Arial"/>
          <w:sz w:val="18"/>
          <w:szCs w:val="18"/>
          <w:b w:val="1"/>
          <w:bCs w:val="1"/>
          <w:u w:val="single" w:color="auto"/>
          <w:color w:val="auto"/>
        </w:rPr>
        <w:t>March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1263650</wp:posOffset>
            </wp:positionH>
            <wp:positionV relativeFrom="paragraph">
              <wp:posOffset>-281940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42" w:lineRule="exact"/>
        <w:rPr>
          <w:sz w:val="24"/>
          <w:szCs w:val="24"/>
          <w:color w:val="auto"/>
        </w:rPr>
      </w:pPr>
    </w:p>
    <w:p>
      <w:pPr>
        <w:ind w:left="3480" w:right="2820" w:hanging="653"/>
        <w:spacing w:after="0" w:line="312" w:lineRule="auto"/>
        <w:tabs>
          <w:tab w:leader="none" w:pos="3069"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Exchange Act For the transition period from _________ to 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-295910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0-9376</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INNOVATIVE FOOD HOLDINGS,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620" w:type="dxa"/>
        <w:tblCellMar>
          <w:top w:w="0" w:type="dxa"/>
          <w:left w:w="0" w:type="dxa"/>
          <w:bottom w:w="0" w:type="dxa"/>
          <w:right w:w="0" w:type="dxa"/>
        </w:tblCellMar>
      </w:tblPr>
      <w:tr>
        <w:trPr>
          <w:trHeight w:val="207"/>
        </w:trPr>
        <w:tc>
          <w:tcPr>
            <w:tcW w:w="1920" w:type="dxa"/>
            <w:vAlign w:val="bottom"/>
          </w:tcPr>
          <w:p>
            <w:pPr>
              <w:spacing w:after="0"/>
              <w:rPr>
                <w:sz w:val="17"/>
                <w:szCs w:val="17"/>
                <w:color w:val="auto"/>
              </w:rPr>
            </w:pPr>
          </w:p>
        </w:tc>
        <w:tc>
          <w:tcPr>
            <w:tcW w:w="4780" w:type="dxa"/>
            <w:vAlign w:val="bottom"/>
            <w:gridSpan w:val="4"/>
          </w:tcPr>
          <w:p>
            <w:pPr>
              <w:jc w:val="center"/>
              <w:ind w:right="4220"/>
              <w:spacing w:after="0"/>
              <w:rPr>
                <w:sz w:val="20"/>
                <w:szCs w:val="20"/>
                <w:color w:val="auto"/>
              </w:rPr>
            </w:pPr>
            <w:r>
              <w:rPr>
                <w:rFonts w:ascii="Arial" w:cs="Arial" w:eastAsia="Arial" w:hAnsi="Arial"/>
                <w:sz w:val="18"/>
                <w:szCs w:val="18"/>
                <w:b w:val="1"/>
                <w:bCs w:val="1"/>
                <w:color w:val="auto"/>
                <w:w w:val="93"/>
              </w:rPr>
              <w:t>Florida</w:t>
            </w:r>
          </w:p>
        </w:tc>
        <w:tc>
          <w:tcPr>
            <w:tcW w:w="200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20-1167761</w:t>
            </w:r>
          </w:p>
        </w:tc>
      </w:tr>
      <w:tr>
        <w:trPr>
          <w:trHeight w:val="20"/>
        </w:trPr>
        <w:tc>
          <w:tcPr>
            <w:tcW w:w="19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6700" w:type="dxa"/>
            <w:vAlign w:val="bottom"/>
            <w:gridSpan w:val="5"/>
          </w:tcPr>
          <w:p>
            <w:pPr>
              <w:jc w:val="center"/>
              <w:ind w:right="23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000" w:type="dxa"/>
            <w:vAlign w:val="bottom"/>
            <w:gridSpan w:val="3"/>
          </w:tcPr>
          <w:p>
            <w:pPr>
              <w:jc w:val="center"/>
              <w:ind w:left="130"/>
              <w:spacing w:after="0"/>
              <w:rPr>
                <w:sz w:val="20"/>
                <w:szCs w:val="20"/>
                <w:color w:val="auto"/>
              </w:rPr>
            </w:pPr>
            <w:r>
              <w:rPr>
                <w:rFonts w:ascii="Arial" w:cs="Arial" w:eastAsia="Arial" w:hAnsi="Arial"/>
                <w:sz w:val="18"/>
                <w:szCs w:val="18"/>
                <w:color w:val="auto"/>
                <w:w w:val="94"/>
              </w:rPr>
              <w:t>(IRS Employer I.D. No.)</w:t>
            </w:r>
          </w:p>
        </w:tc>
      </w:tr>
      <w:tr>
        <w:trPr>
          <w:trHeight w:val="414"/>
        </w:trPr>
        <w:tc>
          <w:tcPr>
            <w:tcW w:w="1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0"/>
              </w:rPr>
              <w:t>28411 Race Track Rd.</w:t>
            </w: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94"/>
        </w:trPr>
        <w:tc>
          <w:tcPr>
            <w:tcW w:w="1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0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0"/>
              </w:rPr>
              <w:t>Bonita Springs, Florida 34135</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37"/>
        </w:trPr>
        <w:tc>
          <w:tcPr>
            <w:tcW w:w="1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20" w:type="dxa"/>
            <w:vAlign w:val="bottom"/>
            <w:gridSpan w:val="3"/>
          </w:tcPr>
          <w:p>
            <w:pPr>
              <w:jc w:val="center"/>
              <w:ind w:left="750"/>
              <w:spacing w:after="0"/>
              <w:rPr>
                <w:sz w:val="20"/>
                <w:szCs w:val="20"/>
                <w:color w:val="auto"/>
              </w:rPr>
            </w:pPr>
            <w:r>
              <w:rPr>
                <w:rFonts w:ascii="Arial" w:cs="Arial" w:eastAsia="Arial" w:hAnsi="Arial"/>
                <w:sz w:val="18"/>
                <w:szCs w:val="18"/>
                <w:color w:val="auto"/>
                <w:w w:val="92"/>
              </w:rPr>
              <w:t>(Address of Principal Executive Offices)</w:t>
            </w: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(239) 596-0204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2171700</wp:posOffset>
            </wp:positionH>
            <wp:positionV relativeFrom="paragraph">
              <wp:posOffset>254635</wp:posOffset>
            </wp:positionV>
            <wp:extent cx="2827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2765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80" w:type="dxa"/>
            <w:vAlign w:val="bottom"/>
            <w:gridSpan w:val="3"/>
          </w:tcPr>
          <w:p>
            <w:pPr>
              <w:spacing w:after="0"/>
              <w:rPr>
                <w:sz w:val="20"/>
                <w:szCs w:val="20"/>
                <w:color w:val="auto"/>
              </w:rPr>
            </w:pPr>
            <w:r>
              <w:rPr>
                <w:rFonts w:ascii="Arial" w:cs="Arial" w:eastAsia="Arial" w:hAnsi="Arial"/>
                <w:sz w:val="18"/>
                <w:szCs w:val="18"/>
                <w:color w:val="auto"/>
                <w:w w:val="93"/>
              </w:rPr>
              <w:t>Securities registered pursuant to Section 12(b) of the Act: None.</w:t>
            </w:r>
          </w:p>
        </w:tc>
        <w:tc>
          <w:tcPr>
            <w:tcW w:w="2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4780" w:type="dxa"/>
            <w:vAlign w:val="bottom"/>
            <w:gridSpan w:val="3"/>
          </w:tcPr>
          <w:p>
            <w:pPr>
              <w:jc w:val="center"/>
              <w:ind w:right="1160"/>
              <w:spacing w:after="0"/>
              <w:rPr>
                <w:sz w:val="20"/>
                <w:szCs w:val="20"/>
                <w:color w:val="auto"/>
              </w:rPr>
            </w:pPr>
            <w:r>
              <w:rPr>
                <w:rFonts w:ascii="Arial" w:cs="Arial" w:eastAsia="Arial" w:hAnsi="Arial"/>
                <w:sz w:val="18"/>
                <w:szCs w:val="18"/>
                <w:b w:val="1"/>
                <w:bCs w:val="1"/>
                <w:color w:val="auto"/>
                <w:w w:val="86"/>
              </w:rPr>
              <w:t>Title of each class</w:t>
            </w:r>
          </w:p>
        </w:tc>
        <w:tc>
          <w:tcPr>
            <w:tcW w:w="2660" w:type="dxa"/>
            <w:vAlign w:val="bottom"/>
          </w:tcPr>
          <w:p>
            <w:pPr>
              <w:jc w:val="center"/>
              <w:ind w:right="850"/>
              <w:spacing w:after="0"/>
              <w:rPr>
                <w:sz w:val="20"/>
                <w:szCs w:val="20"/>
                <w:color w:val="auto"/>
              </w:rPr>
            </w:pPr>
            <w:r>
              <w:rPr>
                <w:rFonts w:ascii="Arial" w:cs="Arial" w:eastAsia="Arial" w:hAnsi="Arial"/>
                <w:sz w:val="18"/>
                <w:szCs w:val="18"/>
                <w:b w:val="1"/>
                <w:bCs w:val="1"/>
                <w:color w:val="auto"/>
                <w:w w:val="91"/>
              </w:rPr>
              <w:t>Trading Symbol(s)</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2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660" w:type="dxa"/>
            <w:vAlign w:val="bottom"/>
            <w:tcBorders>
              <w:top w:val="single" w:sz="8" w:color="auto"/>
            </w:tcBorders>
          </w:tcPr>
          <w:p>
            <w:pPr>
              <w:jc w:val="center"/>
              <w:ind w:right="85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N/A</w:t>
            </w:r>
          </w:p>
        </w:tc>
      </w:tr>
    </w:tbl>
    <w:p>
      <w:pPr>
        <w:spacing w:after="0" w:line="18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1871345</wp:posOffset>
            </wp:positionH>
            <wp:positionV relativeFrom="paragraph">
              <wp:posOffset>-133350</wp:posOffset>
            </wp:positionV>
            <wp:extent cx="86995" cy="88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2231390</wp:posOffset>
            </wp:positionH>
            <wp:positionV relativeFrom="paragraph">
              <wp:posOffset>-133350</wp:posOffset>
            </wp:positionV>
            <wp:extent cx="86995" cy="88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6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Arial" w:cs="Arial" w:eastAsia="Arial" w:hAnsi="Arial"/>
          <w:sz w:val="18"/>
          <w:szCs w:val="18"/>
          <w:b w:val="1"/>
          <w:bCs w:val="1"/>
          <w:color w:val="auto"/>
        </w:rPr>
        <w:t>YES</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266065</wp:posOffset>
            </wp:positionH>
            <wp:positionV relativeFrom="paragraph">
              <wp:posOffset>-133350</wp:posOffset>
            </wp:positionV>
            <wp:extent cx="86995" cy="88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626110</wp:posOffset>
            </wp:positionH>
            <wp:positionV relativeFrom="paragraph">
              <wp:posOffset>-133350</wp:posOffset>
            </wp:positionV>
            <wp:extent cx="86995" cy="88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6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20"/>
                <w:szCs w:val="20"/>
                <w:color w:val="auto"/>
              </w:rPr>
            </w:pPr>
            <w:r>
              <w:rPr>
                <w:rFonts w:ascii="Arial" w:cs="Arial" w:eastAsia="Arial" w:hAnsi="Arial"/>
                <w:sz w:val="18"/>
                <w:szCs w:val="18"/>
                <w:color w:val="auto"/>
              </w:rPr>
              <w:t>(Check One):</w:t>
            </w:r>
          </w:p>
        </w:tc>
        <w:tc>
          <w:tcPr>
            <w:tcW w:w="2920" w:type="dxa"/>
            <w:vAlign w:val="bottom"/>
          </w:tcPr>
          <w:p>
            <w:pPr>
              <w:spacing w:after="0"/>
              <w:rPr>
                <w:sz w:val="18"/>
                <w:szCs w:val="18"/>
                <w:color w:val="auto"/>
              </w:rPr>
            </w:pPr>
          </w:p>
        </w:tc>
        <w:tc>
          <w:tcPr>
            <w:tcW w:w="580" w:type="dxa"/>
            <w:vAlign w:val="bottom"/>
            <w:vMerge w:val="restart"/>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462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920" w:type="dxa"/>
            <w:vAlign w:val="bottom"/>
          </w:tcPr>
          <w:p>
            <w:pPr>
              <w:ind w:left="1280"/>
              <w:spacing w:after="0"/>
              <w:rPr>
                <w:sz w:val="20"/>
                <w:szCs w:val="20"/>
                <w:color w:val="auto"/>
              </w:rPr>
            </w:pPr>
            <w:r>
              <w:rPr>
                <w:rFonts w:ascii="Arial" w:cs="Arial" w:eastAsia="Arial" w:hAnsi="Arial"/>
                <w:sz w:val="18"/>
                <w:szCs w:val="18"/>
                <w:color w:val="auto"/>
              </w:rPr>
              <w:t>Accelerated filer</w:t>
            </w:r>
          </w:p>
        </w:tc>
        <w:tc>
          <w:tcPr>
            <w:tcW w:w="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62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3500" w:type="dxa"/>
            <w:vAlign w:val="bottom"/>
            <w:gridSpan w:val="2"/>
          </w:tcPr>
          <w:p>
            <w:pPr>
              <w:ind w:left="1280"/>
              <w:spacing w:after="0" w:line="207" w:lineRule="exact"/>
              <w:rPr>
                <w:sz w:val="20"/>
                <w:szCs w:val="20"/>
                <w:color w:val="auto"/>
              </w:rPr>
            </w:pPr>
            <w:r>
              <w:rPr>
                <w:rFonts w:ascii="Arial" w:cs="Arial" w:eastAsia="Arial" w:hAnsi="Arial"/>
                <w:sz w:val="18"/>
                <w:szCs w:val="18"/>
                <w:color w:val="auto"/>
                <w:w w:val="92"/>
              </w:rPr>
              <w:t xml:space="preserve">Smaller reporting company </w:t>
            </w:r>
            <w:r>
              <w:rPr>
                <w:rFonts w:ascii="MS PGothic" w:cs="MS PGothic" w:eastAsia="MS PGothic" w:hAnsi="MS PGothic"/>
                <w:sz w:val="18"/>
                <w:szCs w:val="18"/>
                <w:color w:val="auto"/>
                <w:w w:val="92"/>
              </w:rPr>
              <w:t>☒</w:t>
            </w:r>
          </w:p>
        </w:tc>
        <w:tc>
          <w:tcPr>
            <w:tcW w:w="0" w:type="dxa"/>
            <w:vAlign w:val="bottom"/>
          </w:tcPr>
          <w:p>
            <w:pPr>
              <w:spacing w:after="0"/>
              <w:rPr>
                <w:sz w:val="1"/>
                <w:szCs w:val="1"/>
                <w:color w:val="auto"/>
              </w:rPr>
            </w:pPr>
          </w:p>
        </w:tc>
      </w:tr>
      <w:tr>
        <w:trPr>
          <w:trHeight w:val="183"/>
        </w:trPr>
        <w:tc>
          <w:tcPr>
            <w:tcW w:w="4620" w:type="dxa"/>
            <w:vAlign w:val="bottom"/>
          </w:tcPr>
          <w:p>
            <w:pPr>
              <w:spacing w:after="0" w:line="183" w:lineRule="exact"/>
              <w:rPr>
                <w:sz w:val="20"/>
                <w:szCs w:val="20"/>
                <w:color w:val="auto"/>
              </w:rPr>
            </w:pPr>
            <w:r>
              <w:rPr>
                <w:rFonts w:ascii="Arial" w:cs="Arial" w:eastAsia="Arial" w:hAnsi="Arial"/>
                <w:sz w:val="18"/>
                <w:szCs w:val="18"/>
                <w:color w:val="auto"/>
              </w:rPr>
              <w:t>(Do not check if a smaller reporting company)</w:t>
            </w:r>
          </w:p>
        </w:tc>
        <w:tc>
          <w:tcPr>
            <w:tcW w:w="2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4620" w:type="dxa"/>
            <w:vAlign w:val="bottom"/>
          </w:tcPr>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tc>
        <w:tc>
          <w:tcPr>
            <w:tcW w:w="2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Regulation 12b-2 of the Exchange Act):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5802630</wp:posOffset>
            </wp:positionH>
            <wp:positionV relativeFrom="paragraph">
              <wp:posOffset>-86360</wp:posOffset>
            </wp:positionV>
            <wp:extent cx="86995" cy="882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6162040</wp:posOffset>
            </wp:positionH>
            <wp:positionV relativeFrom="paragraph">
              <wp:posOffset>-86360</wp:posOffset>
            </wp:positionV>
            <wp:extent cx="86995" cy="88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38" w:lineRule="exact"/>
        <w:rPr>
          <w:sz w:val="24"/>
          <w:szCs w:val="24"/>
          <w:color w:val="auto"/>
        </w:rPr>
      </w:pPr>
    </w:p>
    <w:p>
      <w:pPr>
        <w:ind w:right="400"/>
        <w:spacing w:after="0" w:line="277" w:lineRule="auto"/>
        <w:rPr>
          <w:sz w:val="20"/>
          <w:szCs w:val="20"/>
          <w:color w:val="auto"/>
        </w:rPr>
      </w:pPr>
      <w:r>
        <w:rPr>
          <w:rFonts w:ascii="Arial" w:cs="Arial" w:eastAsia="Arial" w:hAnsi="Arial"/>
          <w:sz w:val="18"/>
          <w:szCs w:val="18"/>
          <w:color w:val="auto"/>
        </w:rPr>
        <w:t>State the number of shares outstanding of each of the issuer’s classes of common stock, as of the latest practicable date: 37,279,320 shares of common stock issued and 34,441,740 shares of common stock outstanding as of June 29,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original due date for filing of this Form 10-Q was May 15, 2020. Innovative Food Holdings, Inc. (the “Company”) relied on the SEC’s order under Section 36 of the Securities Exchange Act of 1934 Modifying Exemptions From the Reporting and Proxy Delivery Requirements for Public Companies, dated March 25, 2020 (Release No. 34-88465) (the “Order”) to delay the filing of this Quarterly Report on Form 10-Q (the “Quarterly Report”) due to circumstances related to COVID-19. On May 15, 2020, the Company filed a Current Report on Form 8-K to indicate its intention to rely on the Order for such extension. As a result of significant demand shifts in the Company’s business, and in particular, significant increases in the Company’s e-commerce specialty food revenues, the Company’s resources, which include key employees working on matters directly related to the completion of the Quarterly Report, have been substantially focused on operational related items. In addition, inasmuch as for essentially the same reason the Company relied on an extension of the due date granted by the Securities and Exchange Commission of its Annual Report on Form 10-K (the “Annual Report”), which was not required to be filed until May 14, 2020, the Company could not commence working on the Quarterly Report until the Annual Report was completed. Accordingly, as of June 29, 2020, the Company determined that it was unable to finalize the Quarterly Report, which has resulted in a delay in the, review and completion of the Company’s financial statements for the Quarterly Report. As a result, the Company has not yet finalized information required by the Quarterly Report resulting in a delay in the preparation, review and completion of the Company’s financial statements for the Quarterly Report. The foregoing notwithstanding, the Company expects to file the Quarterly Report no later than July 6, 2020, which is 45 days from the Quarterly Report’s original filing deadline of May 15, 2020 as further extended pursuant to Rule 12b-25.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622935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ind w:left="4040"/>
        <w:spacing w:after="0"/>
        <w:rPr>
          <w:sz w:val="20"/>
          <w:szCs w:val="20"/>
          <w:color w:val="auto"/>
        </w:rPr>
      </w:pPr>
      <w:r>
        <w:rPr>
          <w:rFonts w:ascii="Arial" w:cs="Arial" w:eastAsia="Arial" w:hAnsi="Arial"/>
          <w:sz w:val="18"/>
          <w:szCs w:val="18"/>
          <w:b w:val="1"/>
          <w:bCs w:val="1"/>
          <w:color w:val="auto"/>
        </w:rPr>
        <w:t>INNOVATIVE FOOD HOLDINGS, INC.</w:t>
      </w:r>
    </w:p>
    <w:p>
      <w:pPr>
        <w:spacing w:after="0" w:line="2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TABLE OF CONTENTS TO FORM 10-Q</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76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FINANCIAL INFORMATION</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9"/>
        </w:trPr>
        <w:tc>
          <w:tcPr>
            <w:tcW w:w="920" w:type="dxa"/>
            <w:vAlign w:val="bottom"/>
            <w:vMerge w:val="continue"/>
          </w:tcPr>
          <w:p>
            <w:pPr>
              <w:spacing w:after="0"/>
              <w:rPr>
                <w:sz w:val="18"/>
                <w:szCs w:val="18"/>
                <w:color w:val="auto"/>
              </w:rPr>
            </w:pPr>
          </w:p>
        </w:tc>
        <w:tc>
          <w:tcPr>
            <w:tcW w:w="976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760" w:type="dxa"/>
            <w:vAlign w:val="bottom"/>
          </w:tcPr>
          <w:p>
            <w:pPr>
              <w:ind w:left="2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Financial Statements (unaudited)</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760" w:type="dxa"/>
            <w:vAlign w:val="bottom"/>
          </w:tcPr>
          <w:p>
            <w:pPr>
              <w:ind w:left="2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760" w:type="dxa"/>
            <w:vAlign w:val="bottom"/>
          </w:tcPr>
          <w:p>
            <w:pPr>
              <w:ind w:left="2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760" w:type="dxa"/>
            <w:vAlign w:val="bottom"/>
          </w:tcPr>
          <w:p>
            <w:pPr>
              <w:ind w:left="2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Cash Flows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760" w:type="dxa"/>
            <w:vAlign w:val="bottom"/>
          </w:tcPr>
          <w:p>
            <w:pPr>
              <w:ind w:left="2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 of Stockholders’ Equity</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760" w:type="dxa"/>
            <w:vAlign w:val="bottom"/>
          </w:tcPr>
          <w:p>
            <w:pPr>
              <w:ind w:left="2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the Condensed Consolidated Financial Statements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760" w:type="dxa"/>
            <w:vAlign w:val="bottom"/>
          </w:tcPr>
          <w:p>
            <w:pPr>
              <w:ind w:left="220"/>
              <w:spacing w:after="0"/>
              <w:rPr>
                <w:rFonts w:ascii="Arial" w:cs="Arial" w:eastAsia="Arial" w:hAnsi="Arial"/>
                <w:sz w:val="18"/>
                <w:szCs w:val="18"/>
                <w:u w:val="single" w:color="auto"/>
                <w:color w:val="0000EE"/>
                <w:w w:val="98"/>
              </w:rPr>
            </w:pPr>
            <w:hyperlink w:anchor="page8">
              <w:r>
                <w:rPr>
                  <w:rFonts w:ascii="Arial" w:cs="Arial" w:eastAsia="Arial" w:hAnsi="Arial"/>
                  <w:sz w:val="18"/>
                  <w:szCs w:val="18"/>
                  <w:u w:val="single" w:color="auto"/>
                  <w:color w:val="0000EE"/>
                  <w:w w:val="98"/>
                </w:rPr>
                <w:t>Management’s Discussion and Analysis of Financial Condition and Results of Operations (including cautionary statement)</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9760" w:type="dxa"/>
            <w:vAlign w:val="bottom"/>
          </w:tcPr>
          <w:p>
            <w:pPr>
              <w:ind w:left="2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Controls and Procedures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760" w:type="dxa"/>
            <w:vAlign w:val="bottom"/>
          </w:tcPr>
          <w:p>
            <w:pPr>
              <w:ind w:left="220"/>
              <w:spacing w:after="0"/>
              <w:rPr>
                <w:sz w:val="20"/>
                <w:szCs w:val="20"/>
                <w:color w:val="auto"/>
              </w:rPr>
            </w:pPr>
            <w:r>
              <w:rPr>
                <w:rFonts w:ascii="Arial" w:cs="Arial" w:eastAsia="Arial" w:hAnsi="Arial"/>
                <w:sz w:val="18"/>
                <w:szCs w:val="18"/>
                <w:b w:val="1"/>
                <w:bCs w:val="1"/>
                <w:color w:val="auto"/>
              </w:rPr>
              <w:t>OTHER INFORMATION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760" w:type="dxa"/>
            <w:vAlign w:val="bottom"/>
          </w:tcPr>
          <w:p>
            <w:pPr>
              <w:ind w:left="2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Legal Proceedings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760" w:type="dxa"/>
            <w:vAlign w:val="bottom"/>
          </w:tcPr>
          <w:p>
            <w:pPr>
              <w:ind w:left="2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Unregistered Sales of Equity Securities and Use of Proceeds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9760" w:type="dxa"/>
            <w:vAlign w:val="bottom"/>
          </w:tcPr>
          <w:p>
            <w:pPr>
              <w:ind w:left="2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Defaults Upon Senior Securities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9760" w:type="dxa"/>
            <w:vAlign w:val="bottom"/>
          </w:tcPr>
          <w:p>
            <w:pPr>
              <w:ind w:left="2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Mine Safety Disclosures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9760" w:type="dxa"/>
            <w:vAlign w:val="bottom"/>
          </w:tcPr>
          <w:p>
            <w:pPr>
              <w:ind w:left="2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Other Information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9760" w:type="dxa"/>
            <w:vAlign w:val="bottom"/>
          </w:tcPr>
          <w:p>
            <w:pPr>
              <w:ind w:left="2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Exhibits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9760" w:type="dxa"/>
            <w:vAlign w:val="bottom"/>
          </w:tcPr>
          <w:p>
            <w:pPr>
              <w:ind w:left="2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Signatures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790"/>
        </w:trPr>
        <w:tc>
          <w:tcPr>
            <w:tcW w:w="920" w:type="dxa"/>
            <w:vAlign w:val="bottom"/>
            <w:tcBorders>
              <w:bottom w:val="single" w:sz="8" w:color="auto"/>
            </w:tcBorders>
          </w:tcPr>
          <w:p>
            <w:pPr>
              <w:spacing w:after="0"/>
              <w:rPr>
                <w:sz w:val="24"/>
                <w:szCs w:val="24"/>
                <w:color w:val="auto"/>
              </w:rPr>
            </w:pPr>
          </w:p>
        </w:tc>
        <w:tc>
          <w:tcPr>
            <w:tcW w:w="97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b w:val="1"/>
                <w:bCs w:val="1"/>
                <w:color w:val="auto"/>
              </w:rPr>
              <w:t>PART I. FINANCIAL INFORMATION</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b w:val="1"/>
                <w:bCs w:val="1"/>
                <w:color w:val="auto"/>
              </w:rPr>
              <w:t>ITEM 1 - CONDENSED CONSOLIDATED FINANCIAL STATEMENTS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000" w:type="dxa"/>
            <w:vAlign w:val="bottom"/>
          </w:tcPr>
          <w:p>
            <w:pPr>
              <w:ind w:left="4440"/>
              <w:spacing w:after="0"/>
              <w:rPr>
                <w:sz w:val="20"/>
                <w:szCs w:val="20"/>
                <w:color w:val="auto"/>
              </w:rPr>
            </w:pPr>
            <w:r>
              <w:rPr>
                <w:rFonts w:ascii="Arial" w:cs="Arial" w:eastAsia="Arial" w:hAnsi="Arial"/>
                <w:sz w:val="18"/>
                <w:szCs w:val="18"/>
                <w:b w:val="1"/>
                <w:bCs w:val="1"/>
                <w:color w:val="auto"/>
              </w:rPr>
              <w:t>Innovative Food Holdings, Inc.</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00" w:type="dxa"/>
            <w:vAlign w:val="bottom"/>
          </w:tcPr>
          <w:p>
            <w:pPr>
              <w:ind w:left="4080"/>
              <w:spacing w:after="0"/>
              <w:rPr>
                <w:sz w:val="20"/>
                <w:szCs w:val="20"/>
                <w:color w:val="auto"/>
              </w:rPr>
            </w:pPr>
            <w:r>
              <w:rPr>
                <w:rFonts w:ascii="Arial" w:cs="Arial" w:eastAsia="Arial" w:hAnsi="Arial"/>
                <w:sz w:val="18"/>
                <w:szCs w:val="18"/>
                <w:b w:val="1"/>
                <w:bCs w:val="1"/>
                <w:color w:val="auto"/>
              </w:rPr>
              <w:t>Condensed Consolidated Balance Sheets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00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19"/>
                <w:szCs w:val="19"/>
                <w:color w:val="auto"/>
              </w:rPr>
            </w:pPr>
          </w:p>
        </w:tc>
        <w:tc>
          <w:tcPr>
            <w:tcW w:w="1280" w:type="dxa"/>
            <w:vAlign w:val="bottom"/>
          </w:tcPr>
          <w:p>
            <w:pPr>
              <w:jc w:val="center"/>
              <w:ind w:right="110"/>
              <w:spacing w:after="0"/>
              <w:rPr>
                <w:sz w:val="20"/>
                <w:szCs w:val="20"/>
                <w:color w:val="auto"/>
              </w:rPr>
            </w:pPr>
            <w:r>
              <w:rPr>
                <w:rFonts w:ascii="Arial" w:cs="Arial" w:eastAsia="Arial" w:hAnsi="Arial"/>
                <w:sz w:val="18"/>
                <w:szCs w:val="18"/>
                <w:color w:val="auto"/>
                <w:w w:val="92"/>
              </w:rPr>
              <w:t>(unaudited)</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80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5,071,543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3,966,050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1,860,038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3,309,830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2,941,435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2,350,622</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318,617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10,191,633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9,900,191</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6,830,425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6,645,389</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450,225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435,225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Right to use assets, operating leases, net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358,714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193,733</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Right to use assets, finance leases, net</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313,209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174,631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amortizable intangible assets, net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1,342,741</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Goodwill and other unamortizable intangible assets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1,532,822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19,761,028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20,874,975</w:t>
            </w:r>
          </w:p>
        </w:tc>
        <w:tc>
          <w:tcPr>
            <w:tcW w:w="0" w:type="dxa"/>
            <w:vAlign w:val="bottom"/>
          </w:tcPr>
          <w:p>
            <w:pPr>
              <w:spacing w:after="0"/>
              <w:rPr>
                <w:sz w:val="1"/>
                <w:szCs w:val="1"/>
                <w:color w:val="auto"/>
              </w:rPr>
            </w:pPr>
          </w:p>
        </w:tc>
      </w:tr>
      <w:tr>
        <w:trPr>
          <w:trHeight w:val="197"/>
        </w:trPr>
        <w:tc>
          <w:tcPr>
            <w:tcW w:w="80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3,828,998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4,009,956</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Accrued interest</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20,552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16,973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358,456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499,776</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Line of Credit</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2,000,000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payable - current portion, net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751,505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727,766</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Lease liability - operating leases, current</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134,459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133,296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liability - finance leases, current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47,261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29,832</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Contingent liability - current portion</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7,328,231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5,604,599</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liability - operating leases, non-current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224,255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60,437</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Lease liability - finance leases, non-current</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281,270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154,905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Contingent liability - long-term</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144,600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156,600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Note payable - long term portion, net</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3,953,432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3,881,037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11,931,788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9,857,578</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Commitments &amp; Contingencies (see note 16)</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Common stock: $0.0001 par value; 500,000,000 shares authorized; 37,279,320 and 37,210,859 shares</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issued, and 34,441,740 and 34,373,279 shares outstanding at March 31, 2020 and December 31, 2019,</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3,724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3,718</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36,955,853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36,889,818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Treasury stock: 2,623,171 shares outstanding at March 31, 2020 and December 31, 2019</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(1,141,370)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(1,141,370)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(27,988,967)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(24,734,769)</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7,829,240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11,017,397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19,761,028</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20,874,975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these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500" w:type="dxa"/>
            <w:vAlign w:val="bottom"/>
          </w:tcPr>
          <w:p>
            <w:pPr>
              <w:spacing w:after="0"/>
              <w:rPr>
                <w:sz w:val="24"/>
                <w:szCs w:val="24"/>
                <w:color w:val="auto"/>
              </w:rPr>
            </w:pPr>
          </w:p>
        </w:tc>
        <w:tc>
          <w:tcPr>
            <w:tcW w:w="46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Innovative Food Holdings, Inc.</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500" w:type="dxa"/>
            <w:vAlign w:val="bottom"/>
          </w:tcPr>
          <w:p>
            <w:pPr>
              <w:spacing w:after="0"/>
              <w:rPr>
                <w:sz w:val="18"/>
                <w:szCs w:val="18"/>
                <w:color w:val="auto"/>
              </w:rPr>
            </w:pPr>
          </w:p>
        </w:tc>
        <w:tc>
          <w:tcPr>
            <w:tcW w:w="46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Condensed Consolidated Statements of Operations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500" w:type="dxa"/>
            <w:vAlign w:val="bottom"/>
          </w:tcPr>
          <w:p>
            <w:pPr>
              <w:spacing w:after="0"/>
              <w:rPr>
                <w:sz w:val="20"/>
                <w:szCs w:val="20"/>
                <w:color w:val="auto"/>
              </w:rPr>
            </w:pPr>
          </w:p>
        </w:tc>
        <w:tc>
          <w:tcPr>
            <w:tcW w:w="46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(unaudited)</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5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For the Three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For the Three</w:t>
            </w:r>
          </w:p>
        </w:tc>
      </w:tr>
      <w:tr>
        <w:trPr>
          <w:trHeight w:val="216"/>
        </w:trPr>
        <w:tc>
          <w:tcPr>
            <w:tcW w:w="35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Months 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Months Ended</w:t>
            </w:r>
          </w:p>
        </w:tc>
      </w:tr>
      <w:tr>
        <w:trPr>
          <w:trHeight w:val="216"/>
        </w:trPr>
        <w:tc>
          <w:tcPr>
            <w:tcW w:w="35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March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March 31,</w:t>
            </w:r>
          </w:p>
        </w:tc>
      </w:tr>
      <w:tr>
        <w:trPr>
          <w:trHeight w:val="234"/>
        </w:trPr>
        <w:tc>
          <w:tcPr>
            <w:tcW w:w="350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r>
      <w:tr>
        <w:trPr>
          <w:trHeight w:val="426"/>
        </w:trPr>
        <w:tc>
          <w:tcPr>
            <w:tcW w:w="35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13,305,920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12,859,215</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Cost of goods sold</w:t>
            </w:r>
          </w:p>
        </w:tc>
        <w:tc>
          <w:tcPr>
            <w:tcW w:w="4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10,192,864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8,881,380</w:t>
            </w:r>
          </w:p>
        </w:tc>
        <w:tc>
          <w:tcPr>
            <w:tcW w:w="100" w:type="dxa"/>
            <w:vAlign w:val="bottom"/>
          </w:tcPr>
          <w:p>
            <w:pPr>
              <w:spacing w:after="0"/>
              <w:rPr>
                <w:sz w:val="18"/>
                <w:szCs w:val="18"/>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3,113,056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3,977,835</w:t>
            </w:r>
          </w:p>
        </w:tc>
      </w:tr>
      <w:tr>
        <w:trPr>
          <w:trHeight w:val="216"/>
        </w:trPr>
        <w:tc>
          <w:tcPr>
            <w:tcW w:w="35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w w:val="97"/>
              </w:rPr>
              <w:t>Selling, general and administrative expenses</w:t>
            </w:r>
          </w:p>
        </w:tc>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4,612,761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3,788,997</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w w:val="98"/>
              </w:rPr>
              <w:t>Impairment of goodwill and intangible assets</w:t>
            </w:r>
          </w:p>
        </w:tc>
        <w:tc>
          <w:tcPr>
            <w:tcW w:w="4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1,698,952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9"/>
        </w:trPr>
        <w:tc>
          <w:tcPr>
            <w:tcW w:w="3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6,311,713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3,788,997</w:t>
            </w:r>
          </w:p>
        </w:tc>
      </w:tr>
      <w:tr>
        <w:trPr>
          <w:trHeight w:val="216"/>
        </w:trPr>
        <w:tc>
          <w:tcPr>
            <w:tcW w:w="35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(3,198,657)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188,838</w:t>
            </w:r>
          </w:p>
        </w:tc>
      </w:tr>
      <w:tr>
        <w:trPr>
          <w:trHeight w:val="216"/>
        </w:trPr>
        <w:tc>
          <w:tcPr>
            <w:tcW w:w="35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00" w:type="dxa"/>
            <w:vAlign w:val="bottom"/>
          </w:tcPr>
          <w:p>
            <w:pPr>
              <w:ind w:left="100"/>
              <w:spacing w:after="0"/>
              <w:rPr>
                <w:sz w:val="20"/>
                <w:szCs w:val="20"/>
                <w:color w:val="auto"/>
              </w:rPr>
            </w:pPr>
            <w:r>
              <w:rPr>
                <w:rFonts w:ascii="Arial" w:cs="Arial" w:eastAsia="Arial" w:hAnsi="Arial"/>
                <w:sz w:val="18"/>
                <w:szCs w:val="18"/>
                <w:color w:val="auto"/>
              </w:rPr>
              <w:t>Other leasing income</w:t>
            </w: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10,879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 net</w:t>
            </w:r>
          </w:p>
        </w:tc>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(66,420)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(25,478)</w:t>
            </w:r>
          </w:p>
        </w:tc>
      </w:tr>
      <w:tr>
        <w:trPr>
          <w:trHeight w:val="20"/>
        </w:trPr>
        <w:tc>
          <w:tcPr>
            <w:tcW w:w="3500" w:type="dxa"/>
            <w:vAlign w:val="bottom"/>
            <w:shd w:val="clear" w:color="auto" w:fill="CCEEFF"/>
          </w:tcPr>
          <w:p>
            <w:pPr>
              <w:spacing w:after="0" w:line="20" w:lineRule="exact"/>
              <w:rPr>
                <w:sz w:val="1"/>
                <w:szCs w:val="1"/>
                <w:color w:val="auto"/>
              </w:rPr>
            </w:pPr>
          </w:p>
        </w:tc>
        <w:tc>
          <w:tcPr>
            <w:tcW w:w="45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500" w:type="dxa"/>
            <w:vAlign w:val="bottom"/>
          </w:tcPr>
          <w:p>
            <w:pPr>
              <w:ind w:left="280"/>
              <w:spacing w:after="0"/>
              <w:rPr>
                <w:sz w:val="20"/>
                <w:szCs w:val="20"/>
                <w:color w:val="auto"/>
              </w:rPr>
            </w:pPr>
            <w:r>
              <w:rPr>
                <w:rFonts w:ascii="Arial" w:cs="Arial" w:eastAsia="Arial" w:hAnsi="Arial"/>
                <w:sz w:val="18"/>
                <w:szCs w:val="18"/>
                <w:color w:val="auto"/>
              </w:rPr>
              <w:t>Total other income (expense)</w:t>
            </w: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(55,541)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(25,478)</w:t>
            </w:r>
          </w:p>
        </w:tc>
      </w:tr>
      <w:tr>
        <w:trPr>
          <w:trHeight w:val="216"/>
        </w:trPr>
        <w:tc>
          <w:tcPr>
            <w:tcW w:w="350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Net (loss) income before taxes</w:t>
            </w: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(3,254,198)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163,360</w:t>
            </w:r>
          </w:p>
        </w:tc>
      </w:tr>
      <w:tr>
        <w:trPr>
          <w:trHeight w:val="216"/>
        </w:trPr>
        <w:tc>
          <w:tcPr>
            <w:tcW w:w="350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Income tax expense</w:t>
            </w: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350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Net (loss) income</w:t>
            </w:r>
          </w:p>
        </w:tc>
        <w:tc>
          <w:tcPr>
            <w:tcW w:w="4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(3,254,198)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163,360</w:t>
            </w:r>
          </w:p>
        </w:tc>
      </w:tr>
      <w:tr>
        <w:trPr>
          <w:trHeight w:val="20"/>
        </w:trPr>
        <w:tc>
          <w:tcPr>
            <w:tcW w:w="35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500" w:type="dxa"/>
            <w:vAlign w:val="bottom"/>
            <w:shd w:val="clear" w:color="auto" w:fill="CCEEFF"/>
          </w:tcPr>
          <w:p>
            <w:pPr>
              <w:spacing w:after="0"/>
              <w:rPr>
                <w:sz w:val="17"/>
                <w:szCs w:val="17"/>
                <w:color w:val="auto"/>
              </w:rPr>
            </w:pPr>
          </w:p>
        </w:tc>
        <w:tc>
          <w:tcPr>
            <w:tcW w:w="4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Net (loss) income per share - basic</w:t>
            </w:r>
          </w:p>
        </w:tc>
        <w:tc>
          <w:tcPr>
            <w:tcW w:w="4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(0.09)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0.005</w:t>
            </w:r>
          </w:p>
        </w:tc>
      </w:tr>
      <w:tr>
        <w:trPr>
          <w:trHeight w:val="20"/>
        </w:trPr>
        <w:tc>
          <w:tcPr>
            <w:tcW w:w="35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500" w:type="dxa"/>
            <w:vAlign w:val="bottom"/>
            <w:shd w:val="clear" w:color="auto" w:fill="CCEEFF"/>
          </w:tcPr>
          <w:p>
            <w:pPr>
              <w:spacing w:after="0"/>
              <w:rPr>
                <w:sz w:val="17"/>
                <w:szCs w:val="17"/>
                <w:color w:val="auto"/>
              </w:rPr>
            </w:pPr>
          </w:p>
        </w:tc>
        <w:tc>
          <w:tcPr>
            <w:tcW w:w="4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Net (loss) income per share - diluted</w:t>
            </w:r>
          </w:p>
        </w:tc>
        <w:tc>
          <w:tcPr>
            <w:tcW w:w="4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(0.09)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0.005</w:t>
            </w:r>
          </w:p>
        </w:tc>
      </w:tr>
      <w:tr>
        <w:trPr>
          <w:trHeight w:val="20"/>
        </w:trPr>
        <w:tc>
          <w:tcPr>
            <w:tcW w:w="35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500" w:type="dxa"/>
            <w:vAlign w:val="bottom"/>
            <w:shd w:val="clear" w:color="auto" w:fill="CCEEFF"/>
          </w:tcPr>
          <w:p>
            <w:pPr>
              <w:spacing w:after="0"/>
              <w:rPr>
                <w:sz w:val="17"/>
                <w:szCs w:val="17"/>
                <w:color w:val="auto"/>
              </w:rPr>
            </w:pPr>
          </w:p>
        </w:tc>
        <w:tc>
          <w:tcPr>
            <w:tcW w:w="4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w w:val="96"/>
              </w:rPr>
              <w:t>Weighted average shares outstanding - basic</w:t>
            </w: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34,626,275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33,947,817</w:t>
            </w:r>
          </w:p>
        </w:tc>
      </w:tr>
      <w:tr>
        <w:trPr>
          <w:trHeight w:val="20"/>
        </w:trPr>
        <w:tc>
          <w:tcPr>
            <w:tcW w:w="35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500" w:type="dxa"/>
            <w:vAlign w:val="bottom"/>
            <w:shd w:val="clear" w:color="auto" w:fill="CCEEFF"/>
          </w:tcPr>
          <w:p>
            <w:pPr>
              <w:spacing w:after="0"/>
              <w:rPr>
                <w:sz w:val="17"/>
                <w:szCs w:val="17"/>
                <w:color w:val="auto"/>
              </w:rPr>
            </w:pPr>
          </w:p>
        </w:tc>
        <w:tc>
          <w:tcPr>
            <w:tcW w:w="4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w w:val="93"/>
              </w:rPr>
              <w:t>Weighted average shares outstanding - diluted</w:t>
            </w:r>
          </w:p>
        </w:tc>
        <w:tc>
          <w:tcPr>
            <w:tcW w:w="4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34,626,275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33,947,817</w:t>
            </w:r>
          </w:p>
        </w:tc>
        <w:tc>
          <w:tcPr>
            <w:tcW w:w="100" w:type="dxa"/>
            <w:vAlign w:val="bottom"/>
          </w:tcPr>
          <w:p>
            <w:pPr>
              <w:spacing w:after="0"/>
              <w:rPr>
                <w:sz w:val="18"/>
                <w:szCs w:val="18"/>
                <w:color w:val="auto"/>
              </w:rPr>
            </w:pPr>
          </w:p>
        </w:tc>
      </w:tr>
      <w:tr>
        <w:trPr>
          <w:trHeight w:val="20"/>
        </w:trPr>
        <w:tc>
          <w:tcPr>
            <w:tcW w:w="8000" w:type="dxa"/>
            <w:vAlign w:val="bottom"/>
            <w:gridSpan w:val="2"/>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600" w:type="dxa"/>
            <w:vAlign w:val="bottom"/>
            <w:gridSpan w:val="5"/>
          </w:tcPr>
          <w:p>
            <w:pPr>
              <w:jc w:val="center"/>
              <w:ind w:left="1550"/>
              <w:spacing w:after="0"/>
              <w:rPr>
                <w:sz w:val="20"/>
                <w:szCs w:val="20"/>
                <w:color w:val="auto"/>
              </w:rPr>
            </w:pPr>
            <w:r>
              <w:rPr>
                <w:rFonts w:ascii="Arial" w:cs="Arial" w:eastAsia="Arial" w:hAnsi="Arial"/>
                <w:sz w:val="18"/>
                <w:szCs w:val="18"/>
                <w:color w:val="auto"/>
                <w:w w:val="88"/>
              </w:rPr>
              <w:t>See notes to these unaudited condensed consolidated financial statements.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500" w:type="dxa"/>
            <w:vAlign w:val="bottom"/>
          </w:tcPr>
          <w:p>
            <w:pPr>
              <w:spacing w:after="0"/>
              <w:rPr>
                <w:sz w:val="24"/>
                <w:szCs w:val="24"/>
                <w:color w:val="auto"/>
              </w:rPr>
            </w:pPr>
          </w:p>
        </w:tc>
        <w:tc>
          <w:tcPr>
            <w:tcW w:w="4500" w:type="dxa"/>
            <w:vAlign w:val="bottom"/>
          </w:tcPr>
          <w:p>
            <w:pPr>
              <w:jc w:val="center"/>
              <w:ind w:right="170"/>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500" w:type="dxa"/>
            <w:vAlign w:val="bottom"/>
            <w:tcBorders>
              <w:bottom w:val="single" w:sz="8" w:color="auto"/>
            </w:tcBorders>
          </w:tcPr>
          <w:p>
            <w:pPr>
              <w:spacing w:after="0"/>
              <w:rPr>
                <w:sz w:val="10"/>
                <w:szCs w:val="10"/>
                <w:color w:val="auto"/>
              </w:rPr>
            </w:pPr>
          </w:p>
        </w:tc>
        <w:tc>
          <w:tcPr>
            <w:tcW w:w="4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000" w:type="dxa"/>
            <w:vAlign w:val="bottom"/>
          </w:tcPr>
          <w:p>
            <w:pPr>
              <w:jc w:val="center"/>
              <w:ind w:left="3170"/>
              <w:spacing w:after="0"/>
              <w:rPr>
                <w:sz w:val="20"/>
                <w:szCs w:val="20"/>
                <w:color w:val="auto"/>
              </w:rPr>
            </w:pPr>
            <w:r>
              <w:rPr>
                <w:rFonts w:ascii="Arial" w:cs="Arial" w:eastAsia="Arial" w:hAnsi="Arial"/>
                <w:sz w:val="18"/>
                <w:szCs w:val="18"/>
                <w:b w:val="1"/>
                <w:bCs w:val="1"/>
                <w:color w:val="auto"/>
                <w:w w:val="91"/>
              </w:rPr>
              <w:t>Innovative Food Holdings, Inc.</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000" w:type="dxa"/>
            <w:vAlign w:val="bottom"/>
          </w:tcPr>
          <w:p>
            <w:pPr>
              <w:jc w:val="center"/>
              <w:ind w:left="3150"/>
              <w:spacing w:after="0"/>
              <w:rPr>
                <w:sz w:val="20"/>
                <w:szCs w:val="20"/>
                <w:color w:val="auto"/>
              </w:rPr>
            </w:pPr>
            <w:r>
              <w:rPr>
                <w:rFonts w:ascii="Arial" w:cs="Arial" w:eastAsia="Arial" w:hAnsi="Arial"/>
                <w:sz w:val="18"/>
                <w:szCs w:val="18"/>
                <w:b w:val="1"/>
                <w:bCs w:val="1"/>
                <w:color w:val="auto"/>
                <w:w w:val="87"/>
              </w:rPr>
              <w:t>Condensed Consolidated Statements of Cash Flows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tcPr>
          <w:p>
            <w:pPr>
              <w:jc w:val="center"/>
              <w:ind w:left="3170"/>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For the Three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For the Three</w:t>
            </w:r>
          </w:p>
        </w:tc>
      </w:t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Months 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Months Ended</w:t>
            </w:r>
          </w:p>
        </w:tc>
      </w:t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March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March 31,</w:t>
            </w:r>
          </w:p>
        </w:tc>
      </w:tr>
      <w:tr>
        <w:trPr>
          <w:trHeight w:val="234"/>
        </w:trPr>
        <w:tc>
          <w:tcPr>
            <w:tcW w:w="8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r>
      <w:tr>
        <w:trPr>
          <w:trHeight w:val="426"/>
        </w:trPr>
        <w:tc>
          <w:tcPr>
            <w:tcW w:w="800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(3,254,198)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163,360</w:t>
            </w:r>
          </w:p>
        </w:tc>
      </w:tr>
      <w:tr>
        <w:trPr>
          <w:trHeight w:val="216"/>
        </w:trPr>
        <w:tc>
          <w:tcPr>
            <w:tcW w:w="8000" w:type="dxa"/>
            <w:vAlign w:val="bottom"/>
          </w:tcPr>
          <w:p>
            <w:pPr>
              <w:ind w:left="10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Impairment of goodwill and intangible assets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1,698,952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324,565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305,205</w:t>
            </w:r>
          </w:p>
        </w:tc>
      </w:tr>
      <w:tr>
        <w:trPr>
          <w:trHeight w:val="216"/>
        </w:trPr>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right-of-use asset</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49,949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42,619</w:t>
            </w:r>
          </w:p>
        </w:tc>
      </w:tr>
      <w:tr>
        <w:trPr>
          <w:trHeight w:val="216"/>
        </w:trPr>
        <w:tc>
          <w:tcPr>
            <w:tcW w:w="8000" w:type="dxa"/>
            <w:vAlign w:val="bottom"/>
          </w:tcPr>
          <w:p>
            <w:pPr>
              <w:ind w:left="240"/>
              <w:spacing w:after="0"/>
              <w:rPr>
                <w:sz w:val="20"/>
                <w:szCs w:val="20"/>
                <w:color w:val="auto"/>
              </w:rPr>
            </w:pPr>
            <w:r>
              <w:rPr>
                <w:rFonts w:ascii="Arial" w:cs="Arial" w:eastAsia="Arial" w:hAnsi="Arial"/>
                <w:sz w:val="18"/>
                <w:szCs w:val="18"/>
                <w:color w:val="auto"/>
              </w:rPr>
              <w:t>Amortization of prepaid loan fees</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3,123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 based compensation</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66,041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100,144</w:t>
            </w:r>
          </w:p>
        </w:tc>
      </w:tr>
      <w:tr>
        <w:trPr>
          <w:trHeight w:val="216"/>
        </w:trPr>
        <w:tc>
          <w:tcPr>
            <w:tcW w:w="8000" w:type="dxa"/>
            <w:vAlign w:val="bottom"/>
          </w:tcPr>
          <w:p>
            <w:pPr>
              <w:ind w:left="240"/>
              <w:spacing w:after="0"/>
              <w:rPr>
                <w:sz w:val="20"/>
                <w:szCs w:val="20"/>
                <w:color w:val="auto"/>
              </w:rPr>
            </w:pPr>
            <w:r>
              <w:rPr>
                <w:rFonts w:ascii="Arial" w:cs="Arial" w:eastAsia="Arial" w:hAnsi="Arial"/>
                <w:sz w:val="18"/>
                <w:szCs w:val="18"/>
                <w:color w:val="auto"/>
              </w:rPr>
              <w:t>Provision for doubtful accounts</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223,335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(830)</w:t>
            </w:r>
          </w:p>
        </w:tc>
      </w:tr>
      <w:tr>
        <w:trPr>
          <w:trHeight w:val="216"/>
        </w:trPr>
        <w:tc>
          <w:tcPr>
            <w:tcW w:w="8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00"/>
              <w:spacing w:after="0"/>
              <w:rPr>
                <w:sz w:val="20"/>
                <w:szCs w:val="20"/>
                <w:color w:val="auto"/>
              </w:rPr>
            </w:pPr>
            <w:r>
              <w:rPr>
                <w:rFonts w:ascii="Arial" w:cs="Arial" w:eastAsia="Arial" w:hAnsi="Arial"/>
                <w:sz w:val="18"/>
                <w:szCs w:val="18"/>
                <w:color w:val="auto"/>
              </w:rPr>
              <w:t>Changes in assets and liabilities: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1,226,457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(223,433)</w:t>
            </w: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Inventory and other current assets, net</w:t>
            </w:r>
          </w:p>
        </w:tc>
        <w:tc>
          <w:tcPr>
            <w:tcW w:w="1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(650,741)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156,123</w:t>
            </w: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(177,379)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(1,508,855)</w:t>
            </w: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(141,320)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(281,920)</w:t>
            </w: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Contingent liabilities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(25,307)</w:t>
            </w: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Operating lease liability</w:t>
            </w:r>
          </w:p>
        </w:tc>
        <w:tc>
          <w:tcPr>
            <w:tcW w:w="1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(49,949)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(42,619)</w:t>
            </w:r>
          </w:p>
        </w:tc>
      </w:tr>
      <w:tr>
        <w:trPr>
          <w:trHeight w:val="20"/>
        </w:trPr>
        <w:tc>
          <w:tcPr>
            <w:tcW w:w="8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(693,165)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(1,315,513)</w:t>
            </w:r>
          </w:p>
        </w:tc>
      </w:tr>
      <w:tr>
        <w:trPr>
          <w:trHeight w:val="210"/>
        </w:trPr>
        <w:tc>
          <w:tcPr>
            <w:tcW w:w="80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40"/>
              <w:spacing w:after="0"/>
              <w:rPr>
                <w:sz w:val="20"/>
                <w:szCs w:val="20"/>
                <w:color w:val="auto"/>
              </w:rPr>
            </w:pPr>
            <w:r>
              <w:rPr>
                <w:rFonts w:ascii="Arial" w:cs="Arial" w:eastAsia="Arial" w:hAnsi="Arial"/>
                <w:sz w:val="18"/>
                <w:szCs w:val="18"/>
                <w:color w:val="auto"/>
              </w:rPr>
              <w:t>Acquisition of property and equipment</w:t>
            </w:r>
          </w:p>
        </w:tc>
        <w:tc>
          <w:tcPr>
            <w:tcW w:w="1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(285,599)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(2,705)</w:t>
            </w:r>
          </w:p>
        </w:tc>
      </w:tr>
      <w:tr>
        <w:trPr>
          <w:trHeight w:val="20"/>
        </w:trPr>
        <w:tc>
          <w:tcPr>
            <w:tcW w:w="8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(285,599)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(2,705)</w:t>
            </w:r>
          </w:p>
        </w:tc>
      </w:tr>
      <w:tr>
        <w:trPr>
          <w:trHeight w:val="210"/>
        </w:trPr>
        <w:tc>
          <w:tcPr>
            <w:tcW w:w="80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Proceeds from note payable</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150,786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line of credit</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Principal payments on debt</w:t>
            </w:r>
          </w:p>
        </w:tc>
        <w:tc>
          <w:tcPr>
            <w:tcW w:w="1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(57,775)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(294,734)</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financing leases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(6,066)</w:t>
            </w:r>
          </w:p>
        </w:tc>
      </w:tr>
      <w:tr>
        <w:trPr>
          <w:trHeight w:val="20"/>
        </w:trPr>
        <w:tc>
          <w:tcPr>
            <w:tcW w:w="80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1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2,084,257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(300,800)</w:t>
            </w:r>
          </w:p>
        </w:tc>
      </w:tr>
      <w:tr>
        <w:trPr>
          <w:trHeight w:val="209"/>
        </w:trPr>
        <w:tc>
          <w:tcPr>
            <w:tcW w:w="80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rPr>
          <w:sz w:val="20"/>
          <w:szCs w:val="20"/>
          <w:color w:val="auto"/>
        </w:rPr>
      </w:pPr>
      <w:r>
        <w:rPr>
          <w:rFonts w:ascii="Arial" w:cs="Arial" w:eastAsia="Arial" w:hAnsi="Arial"/>
          <w:sz w:val="16"/>
          <w:szCs w:val="16"/>
          <w:color w:val="auto"/>
        </w:rPr>
        <w:t>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Supplemental disclosure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Cash paid during the period for:</w:t>
      </w:r>
    </w:p>
    <w:p>
      <w:pPr>
        <w:spacing w:after="0" w:line="20" w:lineRule="exact"/>
        <w:rPr>
          <w:sz w:val="20"/>
          <w:szCs w:val="20"/>
          <w:color w:val="auto"/>
        </w:rPr>
      </w:pPr>
      <w:r>
        <w:rPr>
          <w:sz w:val="20"/>
          <w:szCs w:val="20"/>
          <w:color w:val="auto"/>
        </w:rPr>
        <w:br w:type="column"/>
      </w:r>
    </w:p>
    <w:p>
      <w:pPr>
        <w:jc w:val="both"/>
        <w:ind w:left="760"/>
        <w:spacing w:after="0"/>
        <w:tabs>
          <w:tab w:leader="none" w:pos="2340" w:val="left"/>
        </w:tabs>
        <w:rPr>
          <w:sz w:val="20"/>
          <w:szCs w:val="20"/>
          <w:color w:val="auto"/>
        </w:rPr>
      </w:pPr>
      <w:r>
        <w:rPr>
          <w:rFonts w:ascii="Arial" w:cs="Arial" w:eastAsia="Arial" w:hAnsi="Arial"/>
          <w:sz w:val="18"/>
          <w:szCs w:val="18"/>
          <w:color w:val="auto"/>
        </w:rPr>
        <w:t>1,105,493</w:t>
      </w:r>
      <w:r>
        <w:rPr>
          <w:sz w:val="20"/>
          <w:szCs w:val="20"/>
          <w:color w:val="auto"/>
        </w:rPr>
        <w:tab/>
      </w:r>
      <w:r>
        <w:rPr>
          <w:rFonts w:ascii="Arial" w:cs="Arial" w:eastAsia="Arial" w:hAnsi="Arial"/>
          <w:sz w:val="18"/>
          <w:szCs w:val="18"/>
          <w:color w:val="auto"/>
        </w:rPr>
        <w:t>(1,619,018)</w:t>
      </w:r>
    </w:p>
    <w:p>
      <w:pPr>
        <w:spacing w:after="0" w:line="211" w:lineRule="exact"/>
        <w:rPr>
          <w:sz w:val="20"/>
          <w:szCs w:val="20"/>
          <w:color w:val="auto"/>
        </w:rPr>
      </w:pPr>
    </w:p>
    <w:p>
      <w:pPr>
        <w:ind w:left="760"/>
        <w:spacing w:after="0"/>
        <w:tabs>
          <w:tab w:leader="none" w:pos="2400" w:val="left"/>
        </w:tabs>
        <w:rPr>
          <w:sz w:val="20"/>
          <w:szCs w:val="20"/>
          <w:color w:val="auto"/>
        </w:rPr>
      </w:pPr>
      <w:r>
        <w:rPr>
          <w:rFonts w:ascii="Arial" w:cs="Arial" w:eastAsia="Arial" w:hAnsi="Arial"/>
          <w:sz w:val="17"/>
          <w:szCs w:val="17"/>
          <w:color w:val="auto"/>
        </w:rPr>
        <w:t>3,966,050</w:t>
      </w:r>
      <w:r>
        <w:rPr>
          <w:sz w:val="20"/>
          <w:szCs w:val="20"/>
          <w:color w:val="auto"/>
        </w:rPr>
        <w:tab/>
      </w:r>
      <w:r>
        <w:rPr>
          <w:rFonts w:ascii="Arial" w:cs="Arial" w:eastAsia="Arial" w:hAnsi="Arial"/>
          <w:sz w:val="17"/>
          <w:szCs w:val="17"/>
          <w:color w:val="auto"/>
        </w:rPr>
        <w:t>4,759,817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19888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30" w:lineRule="exact"/>
        <w:rPr>
          <w:sz w:val="20"/>
          <w:szCs w:val="20"/>
          <w:color w:val="auto"/>
        </w:rPr>
      </w:pPr>
    </w:p>
    <w:p>
      <w:pPr>
        <w:spacing w:after="0"/>
        <w:tabs>
          <w:tab w:leader="none" w:pos="740" w:val="left"/>
          <w:tab w:leader="none" w:pos="1660" w:val="left"/>
          <w:tab w:leader="none" w:pos="2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5,071,543</w:t>
        <w:tab/>
        <w:t>$</w:t>
      </w:r>
      <w:r>
        <w:rPr>
          <w:sz w:val="20"/>
          <w:szCs w:val="20"/>
          <w:color w:val="auto"/>
        </w:rPr>
        <w:tab/>
      </w:r>
      <w:r>
        <w:rPr>
          <w:rFonts w:ascii="Arial" w:cs="Arial" w:eastAsia="Arial" w:hAnsi="Arial"/>
          <w:sz w:val="16"/>
          <w:szCs w:val="16"/>
          <w:color w:val="auto"/>
        </w:rPr>
        <w:t>3,140,799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98882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88820" cy="25400"/>
                    </a:xfrm>
                    <a:prstGeom prst="rect">
                      <a:avLst/>
                    </a:prstGeom>
                    <a:noFill/>
                  </pic:spPr>
                </pic:pic>
              </a:graphicData>
            </a:graphic>
          </wp:anchor>
        </w:drawing>
      </w:r>
    </w:p>
    <w:p>
      <w:pPr>
        <w:spacing w:after="0" w:line="936" w:lineRule="exact"/>
        <w:rPr>
          <w:sz w:val="20"/>
          <w:szCs w:val="20"/>
          <w:color w:val="auto"/>
        </w:rPr>
      </w:pPr>
    </w:p>
    <w:p>
      <w:pPr>
        <w:sectPr>
          <w:pgSz w:w="11900" w:h="16838" w:orient="portrait"/>
          <w:cols w:equalWidth="0" w:num="2">
            <w:col w:w="7280" w:space="720"/>
            <w:col w:w="32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47"/>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59,373</w:t>
            </w:r>
          </w:p>
        </w:tc>
        <w:tc>
          <w:tcPr>
            <w:tcW w:w="6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27,693</w:t>
            </w:r>
          </w:p>
        </w:tc>
      </w:tr>
      <w:tr>
        <w:trPr>
          <w:trHeight w:val="196"/>
        </w:trPr>
        <w:tc>
          <w:tcPr>
            <w:tcW w:w="800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196"/>
        </w:trPr>
        <w:tc>
          <w:tcPr>
            <w:tcW w:w="800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Issuance of 131,136 shares of common stock previously accrued</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93,666</w:t>
            </w:r>
          </w:p>
        </w:tc>
      </w:tr>
      <w:tr>
        <w:trPr>
          <w:trHeight w:val="20"/>
        </w:trPr>
        <w:tc>
          <w:tcPr>
            <w:tcW w:w="80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80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Right to use assets and liabilities - operating, upon adoption of ASU 2016-02</w:t>
            </w:r>
          </w:p>
        </w:tc>
        <w:tc>
          <w:tcPr>
            <w:tcW w:w="48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388,581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6"/>
        </w:trPr>
        <w:tc>
          <w:tcPr>
            <w:tcW w:w="8000" w:type="dxa"/>
            <w:vAlign w:val="bottom"/>
          </w:tcPr>
          <w:p>
            <w:pPr>
              <w:spacing w:after="0" w:line="196" w:lineRule="exact"/>
              <w:rPr>
                <w:sz w:val="20"/>
                <w:szCs w:val="20"/>
                <w:color w:val="auto"/>
              </w:rPr>
            </w:pPr>
            <w:r>
              <w:rPr>
                <w:rFonts w:ascii="Arial" w:cs="Arial" w:eastAsia="Arial" w:hAnsi="Arial"/>
                <w:sz w:val="18"/>
                <w:szCs w:val="18"/>
                <w:color w:val="auto"/>
              </w:rPr>
              <w:t>Increase in right of use assets &amp; liabilities</w:t>
            </w:r>
          </w:p>
        </w:tc>
        <w:tc>
          <w:tcPr>
            <w:tcW w:w="480" w:type="dxa"/>
            <w:vAlign w:val="bottom"/>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214,930</w:t>
            </w:r>
          </w:p>
        </w:tc>
        <w:tc>
          <w:tcPr>
            <w:tcW w:w="680" w:type="dxa"/>
            <w:vAlign w:val="bottom"/>
            <w:gridSpan w:val="2"/>
          </w:tcPr>
          <w:p>
            <w:pPr>
              <w:jc w:val="right"/>
              <w:ind w:right="29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r>
      <w:tr>
        <w:trPr>
          <w:trHeight w:val="20"/>
        </w:trPr>
        <w:tc>
          <w:tcPr>
            <w:tcW w:w="80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80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 in food related company</w:t>
            </w:r>
          </w:p>
        </w:tc>
        <w:tc>
          <w:tcPr>
            <w:tcW w:w="48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15,000</w:t>
            </w:r>
          </w:p>
        </w:tc>
        <w:tc>
          <w:tcPr>
            <w:tcW w:w="2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15,500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6"/>
        </w:trPr>
        <w:tc>
          <w:tcPr>
            <w:tcW w:w="8000" w:type="dxa"/>
            <w:vAlign w:val="bottom"/>
          </w:tcPr>
          <w:p>
            <w:pPr>
              <w:spacing w:after="0" w:line="196" w:lineRule="exact"/>
              <w:rPr>
                <w:sz w:val="20"/>
                <w:szCs w:val="20"/>
                <w:color w:val="auto"/>
              </w:rPr>
            </w:pPr>
            <w:r>
              <w:rPr>
                <w:rFonts w:ascii="Arial" w:cs="Arial" w:eastAsia="Arial" w:hAnsi="Arial"/>
                <w:sz w:val="18"/>
                <w:szCs w:val="18"/>
                <w:color w:val="auto"/>
              </w:rPr>
              <w:t>Capital lease for purchase of fixed assets</w:t>
            </w:r>
          </w:p>
        </w:tc>
        <w:tc>
          <w:tcPr>
            <w:tcW w:w="480" w:type="dxa"/>
            <w:vAlign w:val="bottom"/>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152,548</w:t>
            </w:r>
          </w:p>
        </w:tc>
        <w:tc>
          <w:tcPr>
            <w:tcW w:w="680" w:type="dxa"/>
            <w:vAlign w:val="bottom"/>
            <w:gridSpan w:val="2"/>
          </w:tcPr>
          <w:p>
            <w:pPr>
              <w:jc w:val="right"/>
              <w:ind w:right="29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r>
      <w:tr>
        <w:trPr>
          <w:trHeight w:val="20"/>
        </w:trPr>
        <w:tc>
          <w:tcPr>
            <w:tcW w:w="80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these unaudited condensed consolidated financial statements.</w:t>
      </w:r>
    </w:p>
    <w:p>
      <w:pPr>
        <w:sectPr>
          <w:pgSz w:w="11900" w:h="16838" w:orient="portrait"/>
          <w:cols w:equalWidth="0" w:num="1">
            <w:col w:w="11240"/>
          </w:cols>
          <w:pgMar w:left="320" w:top="125" w:right="339" w:bottom="1440" w:gutter="0" w:footer="0" w:header="0"/>
          <w:type w:val="continuous"/>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40" w:type="dxa"/>
            <w:vAlign w:val="bottom"/>
            <w:gridSpan w:val="8"/>
          </w:tcPr>
          <w:p>
            <w:pPr>
              <w:jc w:val="center"/>
              <w:spacing w:after="0"/>
              <w:rPr>
                <w:sz w:val="20"/>
                <w:szCs w:val="20"/>
                <w:color w:val="auto"/>
              </w:rPr>
            </w:pPr>
            <w:r>
              <w:rPr>
                <w:rFonts w:ascii="Arial" w:cs="Arial" w:eastAsia="Arial" w:hAnsi="Arial"/>
                <w:sz w:val="18"/>
                <w:szCs w:val="18"/>
                <w:b w:val="1"/>
                <w:bCs w:val="1"/>
                <w:color w:val="auto"/>
                <w:w w:val="91"/>
              </w:rPr>
              <w:t>Innovative Food Holdings, Inc.</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4400" w:type="dxa"/>
            <w:vAlign w:val="bottom"/>
            <w:gridSpan w:val="11"/>
          </w:tcPr>
          <w:p>
            <w:pPr>
              <w:jc w:val="center"/>
              <w:spacing w:after="0"/>
              <w:rPr>
                <w:sz w:val="20"/>
                <w:szCs w:val="20"/>
                <w:color w:val="auto"/>
              </w:rPr>
            </w:pPr>
            <w:r>
              <w:rPr>
                <w:rFonts w:ascii="Arial" w:cs="Arial" w:eastAsia="Arial" w:hAnsi="Arial"/>
                <w:sz w:val="18"/>
                <w:szCs w:val="18"/>
                <w:b w:val="1"/>
                <w:bCs w:val="1"/>
                <w:color w:val="auto"/>
                <w:w w:val="89"/>
              </w:rPr>
              <w:t>Consolidated Statements of Stockholders' Equity</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0" w:type="dxa"/>
            <w:vAlign w:val="bottom"/>
          </w:tcPr>
          <w:p>
            <w:pPr>
              <w:spacing w:after="0"/>
              <w:rPr>
                <w:sz w:val="20"/>
                <w:szCs w:val="20"/>
                <w:color w:val="auto"/>
              </w:rPr>
            </w:pPr>
          </w:p>
        </w:tc>
        <w:tc>
          <w:tcPr>
            <w:tcW w:w="440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1"/>
              </w:rPr>
              <w:t>For the Three Months Ended March 31, 2019 and 2020</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3"/>
              </w:rPr>
              <w:t>Additional</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212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8"/>
                <w:szCs w:val="18"/>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3"/>
              </w:rPr>
              <w:t>Paid-in</w:t>
            </w:r>
          </w:p>
        </w:tc>
        <w:tc>
          <w:tcPr>
            <w:tcW w:w="204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Treasury Stock</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5"/>
              </w:rPr>
              <w:t>Accumulated</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3"/>
              </w:rPr>
              <w:t>Capital</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7"/>
              </w:rPr>
              <w:t>Amount</w:t>
            </w:r>
          </w:p>
        </w:tc>
        <w:tc>
          <w:tcPr>
            <w:tcW w:w="8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Value</w:t>
            </w:r>
          </w:p>
        </w:tc>
        <w:tc>
          <w:tcPr>
            <w:tcW w:w="80" w:type="dxa"/>
            <w:vAlign w:val="bottom"/>
          </w:tcPr>
          <w:p>
            <w:pPr>
              <w:spacing w:after="0"/>
              <w:rPr>
                <w:sz w:val="20"/>
                <w:szCs w:val="20"/>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20"/>
                <w:szCs w:val="2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34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36,296,218</w:t>
            </w:r>
          </w:p>
        </w:tc>
        <w:tc>
          <w:tcPr>
            <w:tcW w:w="3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3,627</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$36,132,065</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2,373,171</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7"/>
              </w:rPr>
              <w:t>$(1,016,370)</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7"/>
              </w:rPr>
              <w:t>$ (24,957,536)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10,161,786</w:t>
            </w:r>
          </w:p>
        </w:tc>
        <w:tc>
          <w:tcPr>
            <w:tcW w:w="0" w:type="dxa"/>
            <w:vAlign w:val="bottom"/>
          </w:tcPr>
          <w:p>
            <w:pPr>
              <w:spacing w:after="0"/>
              <w:rPr>
                <w:sz w:val="1"/>
                <w:szCs w:val="1"/>
                <w:color w:val="auto"/>
              </w:rPr>
            </w:pPr>
          </w:p>
        </w:tc>
      </w:tr>
      <w:tr>
        <w:trPr>
          <w:trHeight w:val="202"/>
        </w:trPr>
        <w:tc>
          <w:tcPr>
            <w:tcW w:w="3400" w:type="dxa"/>
            <w:vAlign w:val="bottom"/>
          </w:tcPr>
          <w:p>
            <w:pPr>
              <w:spacing w:after="0" w:line="201" w:lineRule="exact"/>
              <w:rPr>
                <w:sz w:val="20"/>
                <w:szCs w:val="20"/>
                <w:color w:val="auto"/>
              </w:rPr>
            </w:pPr>
            <w:r>
              <w:rPr>
                <w:rFonts w:ascii="Arial" w:cs="Arial" w:eastAsia="Arial" w:hAnsi="Arial"/>
                <w:sz w:val="18"/>
                <w:szCs w:val="18"/>
                <w:color w:val="auto"/>
                <w:w w:val="95"/>
              </w:rPr>
              <w:t>Issuance of shares to employees, previously</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accrued</w:t>
            </w:r>
          </w:p>
        </w:tc>
        <w:tc>
          <w:tcPr>
            <w:tcW w:w="920" w:type="dxa"/>
            <w:vAlign w:val="bottom"/>
          </w:tcPr>
          <w:p>
            <w:pPr>
              <w:jc w:val="right"/>
              <w:spacing w:after="0"/>
              <w:rPr>
                <w:sz w:val="20"/>
                <w:szCs w:val="20"/>
                <w:color w:val="auto"/>
              </w:rPr>
            </w:pPr>
            <w:r>
              <w:rPr>
                <w:rFonts w:ascii="Arial" w:cs="Arial" w:eastAsia="Arial" w:hAnsi="Arial"/>
                <w:sz w:val="18"/>
                <w:szCs w:val="18"/>
                <w:color w:val="auto"/>
              </w:rPr>
              <w:t>131,136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93,653</w:t>
            </w:r>
          </w:p>
        </w:tc>
        <w:tc>
          <w:tcPr>
            <w:tcW w:w="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93,666</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w w:val="96"/>
              </w:rPr>
              <w:t>Fair value of vested stock and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100,144</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100,144</w:t>
            </w:r>
          </w:p>
        </w:tc>
        <w:tc>
          <w:tcPr>
            <w:tcW w:w="0" w:type="dxa"/>
            <w:vAlign w:val="bottom"/>
          </w:tcPr>
          <w:p>
            <w:pPr>
              <w:spacing w:after="0"/>
              <w:rPr>
                <w:sz w:val="1"/>
                <w:szCs w:val="1"/>
                <w:color w:val="auto"/>
              </w:rPr>
            </w:pPr>
          </w:p>
        </w:tc>
      </w:tr>
      <w:tr>
        <w:trPr>
          <w:trHeight w:val="202"/>
        </w:trPr>
        <w:tc>
          <w:tcPr>
            <w:tcW w:w="3400" w:type="dxa"/>
            <w:vAlign w:val="bottom"/>
          </w:tcPr>
          <w:p>
            <w:pPr>
              <w:spacing w:after="0" w:line="201" w:lineRule="exact"/>
              <w:rPr>
                <w:sz w:val="20"/>
                <w:szCs w:val="20"/>
                <w:color w:val="auto"/>
              </w:rPr>
            </w:pPr>
            <w:r>
              <w:rPr>
                <w:rFonts w:ascii="Arial" w:cs="Arial" w:eastAsia="Arial" w:hAnsi="Arial"/>
                <w:sz w:val="18"/>
                <w:szCs w:val="18"/>
                <w:color w:val="auto"/>
              </w:rPr>
              <w:t>Net income for the three months ended</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163,360</w:t>
            </w:r>
          </w:p>
        </w:tc>
        <w:tc>
          <w:tcPr>
            <w:tcW w:w="100" w:type="dxa"/>
            <w:vAlign w:val="bottom"/>
          </w:tcPr>
          <w:p>
            <w:pPr>
              <w:spacing w:after="0"/>
              <w:rPr>
                <w:sz w:val="17"/>
                <w:szCs w:val="17"/>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163,360</w:t>
            </w:r>
          </w:p>
        </w:tc>
        <w:tc>
          <w:tcPr>
            <w:tcW w:w="0" w:type="dxa"/>
            <w:vAlign w:val="bottom"/>
          </w:tcPr>
          <w:p>
            <w:pPr>
              <w:spacing w:after="0"/>
              <w:rPr>
                <w:sz w:val="1"/>
                <w:szCs w:val="1"/>
                <w:color w:val="auto"/>
              </w:rPr>
            </w:pPr>
          </w:p>
        </w:tc>
      </w:tr>
      <w:tr>
        <w:trPr>
          <w:trHeight w:val="217"/>
        </w:trPr>
        <w:tc>
          <w:tcPr>
            <w:tcW w:w="3400" w:type="dxa"/>
            <w:vAlign w:val="bottom"/>
          </w:tcPr>
          <w:p>
            <w:pPr>
              <w:spacing w:after="0"/>
              <w:rPr>
                <w:sz w:val="20"/>
                <w:szCs w:val="20"/>
                <w:color w:val="auto"/>
              </w:rPr>
            </w:pPr>
            <w:r>
              <w:rPr>
                <w:rFonts w:ascii="Arial" w:cs="Arial" w:eastAsia="Arial" w:hAnsi="Arial"/>
                <w:sz w:val="18"/>
                <w:szCs w:val="18"/>
                <w:color w:val="auto"/>
              </w:rPr>
              <w:t>March 31, 2019</w:t>
            </w:r>
          </w:p>
        </w:tc>
        <w:tc>
          <w:tcPr>
            <w:tcW w:w="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March 31, 2019 (unaudited)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36,427,354</w:t>
            </w:r>
          </w:p>
        </w:tc>
        <w:tc>
          <w:tcPr>
            <w:tcW w:w="3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3,640</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36,325,862</w:t>
            </w: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2,373,171</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(1,016,370)</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7"/>
              </w:rPr>
              <w:t>$ (24,794,176)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10,518,956</w:t>
            </w:r>
          </w:p>
        </w:tc>
        <w:tc>
          <w:tcPr>
            <w:tcW w:w="0" w:type="dxa"/>
            <w:vAlign w:val="bottom"/>
          </w:tcPr>
          <w:p>
            <w:pPr>
              <w:spacing w:after="0"/>
              <w:rPr>
                <w:sz w:val="1"/>
                <w:szCs w:val="1"/>
                <w:color w:val="auto"/>
              </w:rPr>
            </w:pPr>
          </w:p>
        </w:tc>
      </w:tr>
      <w:tr>
        <w:trPr>
          <w:trHeight w:val="197"/>
        </w:trPr>
        <w:tc>
          <w:tcPr>
            <w:tcW w:w="340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b w:val="1"/>
                <w:bCs w:val="1"/>
                <w:color w:val="auto"/>
              </w:rPr>
              <w:t>Balance - December 31, 2019</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37,210,859</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3,718</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$36,889,818</w:t>
            </w: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2,623,171</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w w:val="97"/>
              </w:rPr>
              <w:t>$(1,141,370)</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w w:val="97"/>
              </w:rPr>
              <w:t>$ (24,734,769)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11,017,397</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w w:val="96"/>
              </w:rPr>
              <w:t>Fair value of vested stock and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24,258</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46,618</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46,620</w:t>
            </w:r>
          </w:p>
        </w:tc>
        <w:tc>
          <w:tcPr>
            <w:tcW w:w="0" w:type="dxa"/>
            <w:vAlign w:val="bottom"/>
          </w:tcPr>
          <w:p>
            <w:pPr>
              <w:spacing w:after="0"/>
              <w:rPr>
                <w:sz w:val="1"/>
                <w:szCs w:val="1"/>
                <w:color w:val="auto"/>
              </w:rPr>
            </w:pPr>
          </w:p>
        </w:tc>
      </w:tr>
      <w:tr>
        <w:trPr>
          <w:trHeight w:val="202"/>
        </w:trPr>
        <w:tc>
          <w:tcPr>
            <w:tcW w:w="3400" w:type="dxa"/>
            <w:vAlign w:val="bottom"/>
          </w:tcPr>
          <w:p>
            <w:pPr>
              <w:spacing w:after="0" w:line="201" w:lineRule="exact"/>
              <w:rPr>
                <w:sz w:val="20"/>
                <w:szCs w:val="20"/>
                <w:color w:val="auto"/>
              </w:rPr>
            </w:pPr>
            <w:r>
              <w:rPr>
                <w:rFonts w:ascii="Arial" w:cs="Arial" w:eastAsia="Arial" w:hAnsi="Arial"/>
                <w:sz w:val="18"/>
                <w:szCs w:val="18"/>
                <w:color w:val="auto"/>
                <w:w w:val="95"/>
              </w:rPr>
              <w:t>Issuance of shares to employees, previously</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accrued</w:t>
            </w:r>
          </w:p>
        </w:tc>
        <w:tc>
          <w:tcPr>
            <w:tcW w:w="920" w:type="dxa"/>
            <w:vAlign w:val="bottom"/>
          </w:tcPr>
          <w:p>
            <w:pPr>
              <w:jc w:val="right"/>
              <w:spacing w:after="0"/>
              <w:rPr>
                <w:sz w:val="20"/>
                <w:szCs w:val="20"/>
                <w:color w:val="auto"/>
              </w:rPr>
            </w:pPr>
            <w:r>
              <w:rPr>
                <w:rFonts w:ascii="Arial" w:cs="Arial" w:eastAsia="Arial" w:hAnsi="Arial"/>
                <w:sz w:val="18"/>
                <w:szCs w:val="18"/>
                <w:color w:val="auto"/>
              </w:rPr>
              <w:t>498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Fair value of shares issued to employees and</w:t>
            </w:r>
          </w:p>
        </w:tc>
        <w:tc>
          <w:tcPr>
            <w:tcW w:w="9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service providers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43,705</w:t>
            </w:r>
          </w:p>
        </w:tc>
        <w:tc>
          <w:tcPr>
            <w:tcW w:w="220" w:type="dxa"/>
            <w:vAlign w:val="bottom"/>
            <w:tcBorders>
              <w:lef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19,417</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19,421</w:t>
            </w:r>
          </w:p>
        </w:tc>
        <w:tc>
          <w:tcPr>
            <w:tcW w:w="0" w:type="dxa"/>
            <w:vAlign w:val="bottom"/>
          </w:tcPr>
          <w:p>
            <w:pPr>
              <w:spacing w:after="0"/>
              <w:rPr>
                <w:sz w:val="1"/>
                <w:szCs w:val="1"/>
                <w:color w:val="auto"/>
              </w:rPr>
            </w:pPr>
          </w:p>
        </w:tc>
      </w:tr>
      <w:tr>
        <w:trPr>
          <w:trHeight w:val="202"/>
        </w:trPr>
        <w:tc>
          <w:tcPr>
            <w:tcW w:w="3400" w:type="dxa"/>
            <w:vAlign w:val="bottom"/>
          </w:tcPr>
          <w:p>
            <w:pPr>
              <w:spacing w:after="0" w:line="201" w:lineRule="exact"/>
              <w:rPr>
                <w:sz w:val="20"/>
                <w:szCs w:val="20"/>
                <w:color w:val="auto"/>
              </w:rPr>
            </w:pPr>
            <w:r>
              <w:rPr>
                <w:rFonts w:ascii="Arial" w:cs="Arial" w:eastAsia="Arial" w:hAnsi="Arial"/>
                <w:sz w:val="18"/>
                <w:szCs w:val="18"/>
                <w:color w:val="auto"/>
                <w:w w:val="99"/>
              </w:rPr>
              <w:t>Net loss for the three months ended March</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3"/>
            <w:vMerge w:val="restart"/>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(3,254,198)</w:t>
            </w:r>
          </w:p>
        </w:tc>
        <w:tc>
          <w:tcPr>
            <w:tcW w:w="100" w:type="dxa"/>
            <w:vAlign w:val="bottom"/>
          </w:tcPr>
          <w:p>
            <w:pPr>
              <w:spacing w:after="0"/>
              <w:rPr>
                <w:sz w:val="17"/>
                <w:szCs w:val="17"/>
                <w:color w:val="auto"/>
              </w:rPr>
            </w:pPr>
          </w:p>
        </w:tc>
        <w:tc>
          <w:tcPr>
            <w:tcW w:w="9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93"/>
              </w:rPr>
              <w:t>(3,254,198)</w:t>
            </w:r>
          </w:p>
        </w:tc>
        <w:tc>
          <w:tcPr>
            <w:tcW w:w="0" w:type="dxa"/>
            <w:vAlign w:val="bottom"/>
          </w:tcPr>
          <w:p>
            <w:pPr>
              <w:spacing w:after="0"/>
              <w:rPr>
                <w:sz w:val="1"/>
                <w:szCs w:val="1"/>
                <w:color w:val="auto"/>
              </w:rPr>
            </w:pPr>
          </w:p>
        </w:tc>
      </w:tr>
      <w:tr>
        <w:trPr>
          <w:trHeight w:val="217"/>
        </w:trPr>
        <w:tc>
          <w:tcPr>
            <w:tcW w:w="3400" w:type="dxa"/>
            <w:vAlign w:val="bottom"/>
          </w:tcPr>
          <w:p>
            <w:pPr>
              <w:spacing w:after="0"/>
              <w:rPr>
                <w:sz w:val="20"/>
                <w:szCs w:val="20"/>
                <w:color w:val="auto"/>
              </w:rPr>
            </w:pPr>
            <w:r>
              <w:rPr>
                <w:rFonts w:ascii="Arial" w:cs="Arial" w:eastAsia="Arial" w:hAnsi="Arial"/>
                <w:sz w:val="18"/>
                <w:szCs w:val="18"/>
                <w:color w:val="auto"/>
              </w:rPr>
              <w:t>31, 2020</w:t>
            </w:r>
          </w:p>
        </w:tc>
        <w:tc>
          <w:tcPr>
            <w:tcW w:w="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3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March 31, 2020 (unaudited)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37,279,320</w:t>
            </w:r>
          </w:p>
        </w:tc>
        <w:tc>
          <w:tcPr>
            <w:tcW w:w="3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3,724</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36,955,853</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2,623,171</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(1,141,370)</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7"/>
              </w:rPr>
              <w:t>$ (27,988,967)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7,829,240</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INNOVATIVE FOOD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interim condensed consolidated financial statements of Innovative Food Holdings, Inc., and its wholly owned subsidiaries, some of which are non-operating, Artisan Specialty Foods, Inc. (“Artisan”), Food Innovations, Inc. (“FII”), Food New Media Group, Inc. (“FNM”), Organic Food Brokers, LLC (“OFB”), Gourmet Food Service Group, Inc. (“GFG”), Gourmet Foodservice Warehouse, Inc. (“GFW”), Gourmeting, Inc. (“Gourmeting”), The Haley Group, Inc. (“Haley”), Oasis Sales Corp. (“Oasis”), 4 The Gourmet, Inc. (d/b/a For The Gourmet, Inc.), (“Gourmet”), Innovative Food Properties, LLC (“IFP”), Innovative Gourmet, LLC (“Innovative Gourmet” or “igourmet”), Food Funding, LLC (“Food Funding”), Logistics Innovations, LLC (L Innovations”), M Innovations, LLC (“M Innovations”), P Innovations, LLC (“P Innovations”), and collectively with IVFH and its other subsidiaries, the “Company” or “IVFH”) have been prepared pursuant to the rules and regulations of the Securities and Exchange Commission. All material intercompany transactions have been eliminated upon consolidation of these entities.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interim condensed consolidated financial statements have been prepared by the Company, in accordance with generally accepted accounting principles pursuant to Regulation S-X of the Securities and Exchange Commission and with the instructions to Form 10-Q. Certain information and footnote disclosures normally included in audited consolidated financial statements prepared in accordance with generally accepted accounting principles have been condensed or omitted. Accordingly, these interim financial statements should be read in conjunction with the Company’s audited financial statements and related notes as contained in Form 10-K for the year ended December 31, 2019. In the opinion of management, the interim unaudited condensed consolidated financial statements reflect all adjustments, including normal recurring adjustments, necessary for fair presentation of the interim periods presented. The results of the operations for the three months ended March 31, 2020 are not necessarily indicative of the results of operations to be expected for the full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NATURE OF ACTIVITIES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Activity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business is currently conducted by our wholly-owned subsidiaries, Artisan, FII, FNM, OFB, GFG, GFW, Gourmeting, Haley, Oasis, Gourmet, IFP, igourmet, Food Funding, L Innovations, M Innovations, (sometimes referred to herein as “Mouth” or ” Mouth.com”), and P Innovations (collectively, IVFH and its subsidiaries, the “Company” or “IVFH”).</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Overall, our business activities are focused around the creation and growth of a platform which provides distribution or the enabling of distribution of high quality, unique specialty food and food related products ranging from specialty foodservice products to Consumer-Packaged Goods (“CPG”) products through a variety of sales channels ranging from national partnership based and regionally based foodservice related sales channels to e-commerce sales channels offering products both direct to consumers (“D2C”) and direct to business (“B2B”). In our business model, we receive orders from our customers and then work closely with our suppliers and our warehouse facilities to have the orders fulfilled. In order to maintain freshness and quality, we carefully select our suppliers based upon, among other factors, their quality, uniqueness, reliability and access to overnight courier services.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FII, though its relationship with the producers, growers, and makers of thousands of unique specialty foodservice products and through its relationship with US Foods, Inc. (“U.S. Foods” or “USF”), has been in the business of providing premium restaurants, within 24 – 72 hours, with the freshest origin-specific perishable, and healthcare products shipped directly from our network of vendors and from our warehouses. Our customers include restaurants, hotels, country clubs, national chain accounts, casinos, hospitals and catering houses.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Gourmet has been in the business of providing specialty food via e-commerce through its own website at www.forthegourmet.com and through other ecommerce channels, with unique specialty gourmet food products shipped directly from our network of vendors and from our warehouses within 24 – 72 hours.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Artisan is a supplier of over 1,500 unique specialty foodservice products to over 500 customers such as chefs, restaurants, etc. in the Greater Chicago area and serves as a national fulfillment center for certain of the Company’s other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GFG is focused on expanding the Company’s program offerings to additional specialty foodservice customers.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Haley is a dedicated foodservice consulting and advisory firm that works closely with companies to access private label and manufacturers’ private label food service opportunities with the intent of helping them launch and commercialize new products in the broadline foodservice industry and assists in the enabling of the distribution of products via national broadline food distributors.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IFP was formed to hold the Company’s real estate holdings including the recently acquired facility in PA.</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OFB and Oasis function as outsourced national sales and brand management teams for emerging organic and specialty food CPG companies of a variety of sizes and business stages, and provides emerging and unique CPG specialty food brands with distribution and shelf placement access in all of the major metro markets in the food retail industry.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igourmet has been in the business of providing DTC specialty food via e-commerce through its own website at www.igourmet.com and through other channels such as www.amazon.com, www.ebay.com, and www.walmart.com. In addition, igourmet.com offers a line of B2B specialty foodservice items. Products are primarily shipped directly from igourmet’s 67,000 square feet warehouse in Pennsylvania via igourmet.com owned trucks and via third party carrier directly to thousands of customers nationwide.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Mouth.com (www.mouth.com) is an online retailer of specialty foods, monthly subscription boxes and curated gift boxes to thousands of consumers and corporate customers across the United States. Mouth sources high quality specialty foods crafted in the US by independent and small batch makers, and expertly curates them into standout food gifts for both consumers and corporate customers. Mouth also has launched a private label brand, including several award-winning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 Innovations’ focus is to leverage acquired assets to expand the Company’s subscription-based e-commerce business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L Innovations provides 3rd party warehouse and fulfillment services, out of its first location at the Company’s Mountaintop, Pennsylvania facility.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these financial statements requires us to make estimates and judgments that affect the reported amounts of assets, liabilities, revenues and expenses, and related disclosure of contingent assets and liabilities. On an on-going basis, we evaluate these estimates, including those related to revenue recognition and concentration of credit risk.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Accounts subject to estimate and judgements are accounts receivable reserves, income taxes, intangible assets, contingent liabilities, operating right of use assets and liabilities, and equity based instruments. Actual results may differ from these estimates under different assumptions or conditions. We believe our estimates have not been materially inaccurate in past years, and our assumptions are not likely to change in the foreseeable future.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accompanying consolidated financial statements include the accounts of Innovative Food Holdings, Inc., and its wholly owned operating subsidiaries, Artisan, FII, FNM, OFB, GFG, GFW, Gourmeting, Haley, Oasis, Innovative Gourmet, IFP, Food Funding, M Innovations, P Innovations, L Innovations, and Gourmet. All material intercompany transactions have been eliminated upon consolidation of these entities.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Concentrations of Credit Risk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Financial instruments and related items, which potentially subject the Company to concentrations of credit risk, consist primarily of cash, cash equivalents and trade receivables. The Company places its cash and temporary cash in investments with credit quality institutions. At times, such investments may be in excess of applicable government mandated insurance limit. At March 31, 2020 and December 31, 2019, trade receivables from the Company’s largest customer amounted to 32% and 35%, respectively, of total trade receivables. During the three months ended March 31, 2020 and 2019, sales from the Company’s largest customer amounted to 55% and 59% of total sales,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Reclassifications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conform prior period data to the current presentation.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determines if an arrangement is a lease at inception. Operating lease right-of-use assets (“ROU assets”) and short-term and long-term lease liabilities are included on the face of the condensed consolidated balance sheet. Finance lease ROU assets are presented within other assets, and finance lease liabilities are presented within accrued liabilities.</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ROU assets represent the right to use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an incremental borrowing rate based on the information available at commencement date in determining the present value of lease payments. The operating lease ROU asset also excludes lease incentives.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are accounted for as a single lease component. For lease agreements with terms less than 12 months, the Company has elected the short-term lease measurement and recognition exemption, and it recognizes such lease payments on a straight-line basis over the lease term.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recognizes revenue upon product delivery. All of our products are shipped either same day or overnight or through longer shipping terms to the customer and the customer takes title to product and assumes risk and ownership of the product when it is delivered. Shipping charges to customers and sales taxes collectible from customers, if any, are included in revenues.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revenue from product sales, the Company recognizes revenue in accordance with Financial Accounting Standards Board “FASB” Accounting Standards Codification “ASC” 606. A five-step analysis a must be met as outlined in Topic 606: (i) identify the contract with the customer, (ii) identify the performance obligations in the contract, (iii) determine the transaction price, (iv) allocate the transaction price to the performance obligations, and (v) recognize revenue when (or as) performance obligations are satisfied.. Provisions for discounts and rebates to customers, estimated returns and allowances, and other adjustments are provided for in the same period the related sales are recorded. The Company defers any revenue for which the product has not been delivered or is subject to refund until such time that the Company and the customer jointly determine that the product has been delivered or no refund will be required. Adoption of ASC 606 had no material effect on the Company’s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customer arrangements in the Company's business such as gift cards and e-commerce subscription purchases result in deferred revenues when cash payments are received in advance of performance. Gift cards are issued by the Company generally do not have expiration dates. The Company records a liability for unredeemed gift cards and advance payments for monthly club memberships, as cash is received, and the liability is reduced when the card is redeemed or product delivered.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changes in deferred revenue as reported on the Company’s consolidated balance sheets: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2018</w:t>
            </w:r>
          </w:p>
        </w:tc>
        <w:tc>
          <w:tcPr>
            <w:tcW w:w="44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559,315</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Cash payments received</w:t>
            </w:r>
          </w:p>
        </w:tc>
        <w:tc>
          <w:tcPr>
            <w:tcW w:w="3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93,580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 recognized</w:t>
            </w:r>
          </w:p>
        </w:tc>
        <w:tc>
          <w:tcPr>
            <w:tcW w:w="3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(375,500)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342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Balance as of March 31, 2019</w:t>
            </w:r>
          </w:p>
        </w:tc>
        <w:tc>
          <w:tcPr>
            <w:tcW w:w="396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277,395</w:t>
            </w:r>
          </w:p>
        </w:tc>
        <w:tc>
          <w:tcPr>
            <w:tcW w:w="8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444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44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499,776</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Cash payments received</w:t>
            </w:r>
          </w:p>
        </w:tc>
        <w:tc>
          <w:tcPr>
            <w:tcW w:w="3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200,300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 recognized</w:t>
            </w:r>
          </w:p>
        </w:tc>
        <w:tc>
          <w:tcPr>
            <w:tcW w:w="3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(341,620)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342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Balance as of March 31, 2020</w:t>
            </w:r>
          </w:p>
        </w:tc>
        <w:tc>
          <w:tcPr>
            <w:tcW w:w="396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358,456</w:t>
            </w:r>
          </w:p>
        </w:tc>
        <w:tc>
          <w:tcPr>
            <w:tcW w:w="8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960" w:type="dxa"/>
            <w:vAlign w:val="bottom"/>
            <w:vMerge w:val="restart"/>
          </w:tcPr>
          <w:p>
            <w:pPr>
              <w:jc w:val="right"/>
              <w:ind w:right="2690"/>
              <w:spacing w:after="0"/>
              <w:rPr>
                <w:sz w:val="20"/>
                <w:szCs w:val="20"/>
                <w:color w:val="auto"/>
              </w:rPr>
            </w:pPr>
            <w:r>
              <w:rPr>
                <w:rFonts w:ascii="Arial" w:cs="Arial" w:eastAsia="Arial" w:hAnsi="Arial"/>
                <w:sz w:val="18"/>
                <w:szCs w:val="18"/>
                <w:color w:val="auto"/>
              </w:rPr>
              <w:t>10</w:t>
            </w: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420" w:type="dxa"/>
            <w:vAlign w:val="bottom"/>
            <w:tcBorders>
              <w:bottom w:val="single" w:sz="8" w:color="auto"/>
            </w:tcBorders>
          </w:tcPr>
          <w:p>
            <w:pPr>
              <w:spacing w:after="0"/>
              <w:rPr>
                <w:sz w:val="10"/>
                <w:szCs w:val="10"/>
                <w:color w:val="auto"/>
              </w:rPr>
            </w:pPr>
          </w:p>
        </w:tc>
        <w:tc>
          <w:tcPr>
            <w:tcW w:w="39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disaggregation of revenue by from sales for the three months ended March 31, 2020 and 2019:</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56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0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56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Specialty foodservice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9,912,792</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10,205,969</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E-Commerce</w:t>
            </w: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2,878,026</w:t>
            </w:r>
          </w:p>
        </w:tc>
        <w:tc>
          <w:tcPr>
            <w:tcW w:w="4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2,187,303</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Brand Management</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250,665</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465,943</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Logistics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264,437</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56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13,305,920</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12,859,215</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goods sold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included in cost of goods sold all costs which are directly related to the generation of revenue. These costs include primarily the cost of food and raw materials, packing and handling, shipping, and delivery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also included all payroll costs as cost of goods sold in our leasing and logistics services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Basic and Diluted Earnings Per Share</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Basic net earnings per share is based on the weighted average number of shares outstanding during the period, while fully-diluted net earnings per share is based on the weighted average number of shares of common stock and potentially dilutive securities assumed to be outstanding during the period using the treasury stock method. Potentially dilutive securities consist of options and warrants to purchase common stock, and convertible debt. Basic and diluted net loss per share is computed based on the weighted average number of shares of common stock outstanding during the period.</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uses the treasury stock method to calculate the impact of outstanding stock options and warrants. Stock options and warrants for which the exercise price exceeds the average market price over the period have an anti-dilutive effect on earnings per common share and, accordingly, are excluded from the calculation.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Dilutive shares at March 31, 2020:</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options outstanding and the related prices for the options to purchase shares of the Company’s common stock issued by the Company at March 31, 2020:</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89"/>
              </w:rPr>
              <w:t>Exercise</w:t>
            </w:r>
          </w:p>
        </w:tc>
        <w:tc>
          <w:tcPr>
            <w:tcW w:w="2980" w:type="dxa"/>
            <w:vAlign w:val="bottom"/>
            <w:gridSpan w:val="2"/>
          </w:tcPr>
          <w:p>
            <w:pPr>
              <w:ind w:left="1100"/>
              <w:spacing w:after="0"/>
              <w:rPr>
                <w:sz w:val="20"/>
                <w:szCs w:val="20"/>
                <w:color w:val="auto"/>
              </w:rPr>
            </w:pPr>
            <w:r>
              <w:rPr>
                <w:rFonts w:ascii="Arial" w:cs="Arial" w:eastAsia="Arial" w:hAnsi="Arial"/>
                <w:sz w:val="18"/>
                <w:szCs w:val="18"/>
                <w:b w:val="1"/>
                <w:bCs w:val="1"/>
                <w:color w:val="auto"/>
              </w:rPr>
              <w:t>Number</w:t>
            </w:r>
          </w:p>
        </w:tc>
        <w:tc>
          <w:tcPr>
            <w:tcW w:w="2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Contractual</w:t>
            </w:r>
          </w:p>
        </w:tc>
      </w:tr>
      <w:tr>
        <w:trPr>
          <w:trHeight w:val="234"/>
        </w:trPr>
        <w:tc>
          <w:tcPr>
            <w:tcW w:w="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w w:val="90"/>
              </w:rPr>
              <w:t>Price</w:t>
            </w:r>
          </w:p>
        </w:tc>
        <w:tc>
          <w:tcPr>
            <w:tcW w:w="160" w:type="dxa"/>
            <w:vAlign w:val="bottom"/>
          </w:tcPr>
          <w:p>
            <w:pPr>
              <w:spacing w:after="0"/>
              <w:rPr>
                <w:sz w:val="20"/>
                <w:szCs w:val="20"/>
                <w:color w:val="auto"/>
              </w:rPr>
            </w:pPr>
          </w:p>
        </w:tc>
        <w:tc>
          <w:tcPr>
            <w:tcW w:w="28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of Options</w:t>
            </w:r>
          </w:p>
        </w:tc>
        <w:tc>
          <w:tcPr>
            <w:tcW w:w="140" w:type="dxa"/>
            <w:vAlign w:val="bottom"/>
          </w:tcPr>
          <w:p>
            <w:pPr>
              <w:spacing w:after="0"/>
              <w:rPr>
                <w:sz w:val="20"/>
                <w:szCs w:val="20"/>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80" w:type="dxa"/>
            <w:vAlign w:val="bottom"/>
          </w:tcPr>
          <w:p>
            <w:pPr>
              <w:spacing w:after="0"/>
              <w:rPr>
                <w:sz w:val="20"/>
                <w:szCs w:val="20"/>
                <w:color w:val="auto"/>
              </w:rPr>
            </w:pPr>
          </w:p>
        </w:tc>
      </w:tr>
      <w:tr>
        <w:trPr>
          <w:trHeight w:val="210"/>
        </w:trPr>
        <w:tc>
          <w:tcPr>
            <w:tcW w:w="6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0.62</w:t>
            </w:r>
          </w:p>
        </w:tc>
        <w:tc>
          <w:tcPr>
            <w:tcW w:w="2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360,000</w:t>
            </w:r>
          </w:p>
        </w:tc>
        <w:tc>
          <w:tcPr>
            <w:tcW w:w="14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3.75</w:t>
            </w:r>
          </w:p>
        </w:tc>
      </w:tr>
      <w:tr>
        <w:trPr>
          <w:trHeight w:val="216"/>
        </w:trPr>
        <w:tc>
          <w:tcPr>
            <w:tcW w:w="6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400" w:type="dxa"/>
            <w:vAlign w:val="bottom"/>
            <w:gridSpan w:val="2"/>
          </w:tcPr>
          <w:p>
            <w:pPr>
              <w:jc w:val="right"/>
              <w:ind w:right="160"/>
              <w:spacing w:after="0"/>
              <w:rPr>
                <w:sz w:val="20"/>
                <w:szCs w:val="20"/>
                <w:color w:val="auto"/>
              </w:rPr>
            </w:pPr>
            <w:r>
              <w:rPr>
                <w:rFonts w:ascii="Arial" w:cs="Arial" w:eastAsia="Arial" w:hAnsi="Arial"/>
                <w:sz w:val="18"/>
                <w:szCs w:val="18"/>
                <w:color w:val="auto"/>
              </w:rPr>
              <w:t>0.85</w:t>
            </w:r>
          </w:p>
        </w:tc>
        <w:tc>
          <w:tcPr>
            <w:tcW w:w="2840" w:type="dxa"/>
            <w:vAlign w:val="bottom"/>
          </w:tcPr>
          <w:p>
            <w:pPr>
              <w:jc w:val="right"/>
              <w:spacing w:after="0"/>
              <w:rPr>
                <w:sz w:val="20"/>
                <w:szCs w:val="20"/>
                <w:color w:val="auto"/>
              </w:rPr>
            </w:pPr>
            <w:r>
              <w:rPr>
                <w:rFonts w:ascii="Arial" w:cs="Arial" w:eastAsia="Arial" w:hAnsi="Arial"/>
                <w:sz w:val="18"/>
                <w:szCs w:val="18"/>
                <w:color w:val="auto"/>
              </w:rPr>
              <w:t>540,000</w:t>
            </w:r>
          </w:p>
        </w:tc>
        <w:tc>
          <w:tcPr>
            <w:tcW w:w="140" w:type="dxa"/>
            <w:vAlign w:val="bottom"/>
          </w:tcPr>
          <w:p>
            <w:pPr>
              <w:spacing w:after="0"/>
              <w:rPr>
                <w:sz w:val="18"/>
                <w:szCs w:val="18"/>
                <w:color w:val="auto"/>
              </w:rPr>
            </w:pPr>
          </w:p>
        </w:tc>
        <w:tc>
          <w:tcPr>
            <w:tcW w:w="2920" w:type="dxa"/>
            <w:vAlign w:val="bottom"/>
            <w:gridSpan w:val="2"/>
          </w:tcPr>
          <w:p>
            <w:pPr>
              <w:jc w:val="right"/>
              <w:ind w:right="80"/>
              <w:spacing w:after="0"/>
              <w:rPr>
                <w:sz w:val="20"/>
                <w:szCs w:val="20"/>
                <w:color w:val="auto"/>
              </w:rPr>
            </w:pPr>
            <w:r>
              <w:rPr>
                <w:rFonts w:ascii="Arial" w:cs="Arial" w:eastAsia="Arial" w:hAnsi="Arial"/>
                <w:sz w:val="18"/>
                <w:szCs w:val="18"/>
                <w:color w:val="auto"/>
              </w:rPr>
              <w:t>3.75</w:t>
            </w:r>
          </w:p>
        </w:tc>
      </w:tr>
      <w:tr>
        <w:trPr>
          <w:trHeight w:val="216"/>
        </w:trPr>
        <w:tc>
          <w:tcPr>
            <w:tcW w:w="6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w:t>
            </w:r>
          </w:p>
        </w:tc>
        <w:tc>
          <w:tcPr>
            <w:tcW w:w="2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75,000</w:t>
            </w:r>
          </w:p>
        </w:tc>
        <w:tc>
          <w:tcPr>
            <w:tcW w:w="2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w:t>
            </w:r>
          </w:p>
        </w:tc>
      </w:tr>
      <w:tr>
        <w:trPr>
          <w:trHeight w:val="216"/>
        </w:trPr>
        <w:tc>
          <w:tcPr>
            <w:tcW w:w="6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400" w:type="dxa"/>
            <w:vAlign w:val="bottom"/>
            <w:gridSpan w:val="2"/>
          </w:tcPr>
          <w:p>
            <w:pPr>
              <w:jc w:val="right"/>
              <w:ind w:right="160"/>
              <w:spacing w:after="0"/>
              <w:rPr>
                <w:sz w:val="20"/>
                <w:szCs w:val="20"/>
                <w:color w:val="auto"/>
              </w:rPr>
            </w:pPr>
            <w:r>
              <w:rPr>
                <w:rFonts w:ascii="Arial" w:cs="Arial" w:eastAsia="Arial" w:hAnsi="Arial"/>
                <w:sz w:val="18"/>
                <w:szCs w:val="18"/>
                <w:color w:val="auto"/>
              </w:rPr>
              <w:t>1.20</w:t>
            </w:r>
          </w:p>
        </w:tc>
        <w:tc>
          <w:tcPr>
            <w:tcW w:w="2840" w:type="dxa"/>
            <w:vAlign w:val="bottom"/>
          </w:tcPr>
          <w:p>
            <w:pPr>
              <w:jc w:val="right"/>
              <w:spacing w:after="0"/>
              <w:rPr>
                <w:sz w:val="20"/>
                <w:szCs w:val="20"/>
                <w:color w:val="auto"/>
              </w:rPr>
            </w:pPr>
            <w:r>
              <w:rPr>
                <w:rFonts w:ascii="Arial" w:cs="Arial" w:eastAsia="Arial" w:hAnsi="Arial"/>
                <w:sz w:val="18"/>
                <w:szCs w:val="18"/>
                <w:color w:val="auto"/>
              </w:rPr>
              <w:t>950,000</w:t>
            </w:r>
          </w:p>
        </w:tc>
        <w:tc>
          <w:tcPr>
            <w:tcW w:w="140" w:type="dxa"/>
            <w:vAlign w:val="bottom"/>
          </w:tcPr>
          <w:p>
            <w:pPr>
              <w:spacing w:after="0"/>
              <w:rPr>
                <w:sz w:val="18"/>
                <w:szCs w:val="18"/>
                <w:color w:val="auto"/>
              </w:rPr>
            </w:pPr>
          </w:p>
        </w:tc>
        <w:tc>
          <w:tcPr>
            <w:tcW w:w="2920" w:type="dxa"/>
            <w:vAlign w:val="bottom"/>
            <w:gridSpan w:val="2"/>
          </w:tcPr>
          <w:p>
            <w:pPr>
              <w:jc w:val="right"/>
              <w:ind w:right="80"/>
              <w:spacing w:after="0"/>
              <w:rPr>
                <w:sz w:val="20"/>
                <w:szCs w:val="20"/>
                <w:color w:val="auto"/>
              </w:rPr>
            </w:pPr>
            <w:r>
              <w:rPr>
                <w:rFonts w:ascii="Arial" w:cs="Arial" w:eastAsia="Arial" w:hAnsi="Arial"/>
                <w:sz w:val="18"/>
                <w:szCs w:val="18"/>
                <w:color w:val="auto"/>
              </w:rPr>
              <w:t>3.68</w:t>
            </w:r>
          </w:p>
        </w:tc>
      </w:tr>
      <w:tr>
        <w:trPr>
          <w:trHeight w:val="216"/>
        </w:trPr>
        <w:tc>
          <w:tcPr>
            <w:tcW w:w="6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w:t>
            </w:r>
          </w:p>
        </w:tc>
        <w:tc>
          <w:tcPr>
            <w:tcW w:w="2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4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w:t>
            </w:r>
          </w:p>
        </w:tc>
      </w:tr>
      <w:tr>
        <w:trPr>
          <w:trHeight w:val="20"/>
        </w:trPr>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2,050,000</w:t>
            </w:r>
          </w:p>
        </w:tc>
        <w:tc>
          <w:tcPr>
            <w:tcW w:w="140" w:type="dxa"/>
            <w:vAlign w:val="bottom"/>
          </w:tcPr>
          <w:p>
            <w:pPr>
              <w:spacing w:after="0"/>
              <w:rPr>
                <w:sz w:val="18"/>
                <w:szCs w:val="18"/>
                <w:color w:val="auto"/>
              </w:rPr>
            </w:pPr>
          </w:p>
        </w:tc>
        <w:tc>
          <w:tcPr>
            <w:tcW w:w="2920" w:type="dxa"/>
            <w:vAlign w:val="bottom"/>
            <w:gridSpan w:val="2"/>
          </w:tcPr>
          <w:p>
            <w:pPr>
              <w:jc w:val="right"/>
              <w:ind w:right="80"/>
              <w:spacing w:after="0"/>
              <w:rPr>
                <w:sz w:val="20"/>
                <w:szCs w:val="20"/>
                <w:color w:val="auto"/>
              </w:rPr>
            </w:pPr>
            <w:r>
              <w:rPr>
                <w:rFonts w:ascii="Arial" w:cs="Arial" w:eastAsia="Arial" w:hAnsi="Arial"/>
                <w:sz w:val="18"/>
                <w:szCs w:val="18"/>
                <w:color w:val="auto"/>
              </w:rPr>
              <w:t>3.50</w:t>
            </w:r>
          </w:p>
        </w:tc>
      </w:tr>
      <w:tr>
        <w:trPr>
          <w:trHeight w:val="20"/>
        </w:trPr>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Awards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At March 31, 2020 there are 300,000 unvested restricted stock awards remaining from grants in a prior year. Those 300,000 restricted stock awards will vest as follows: 125,000 restricted stock awards will vest contingent upon the attainment of a stock price of $2.00 per share for 20 straight trading days, and an additional 175,000 restricted stock awards will vest contingent upon the attainment of a stock price of $3.00 per share for 20 straight trading days.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2020, the Company incurred obligations to issue the following shares of common stock pursuant to compensation agreements: an aggregate total of 24,258 shares of common stock to board members.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Dilutive shares at March 31, 2019:</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options outstanding and the related prices for the options to purchase shares of the Company’s common stock issued by the Company at March 31, 2019:</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0" w:type="dxa"/>
            <w:vAlign w:val="bottom"/>
            <w:gridSpan w:val="2"/>
          </w:tcPr>
          <w:p>
            <w:pPr>
              <w:jc w:val="center"/>
              <w:ind w:right="740"/>
              <w:spacing w:after="0"/>
              <w:rPr>
                <w:sz w:val="20"/>
                <w:szCs w:val="20"/>
                <w:color w:val="auto"/>
              </w:rPr>
            </w:pPr>
            <w:r>
              <w:rPr>
                <w:rFonts w:ascii="Arial" w:cs="Arial" w:eastAsia="Arial" w:hAnsi="Arial"/>
                <w:sz w:val="18"/>
                <w:szCs w:val="18"/>
                <w:b w:val="1"/>
                <w:bCs w:val="1"/>
                <w:color w:val="auto"/>
                <w:w w:val="89"/>
              </w:rPr>
              <w:t>Exercise</w:t>
            </w:r>
          </w:p>
        </w:tc>
        <w:tc>
          <w:tcPr>
            <w:tcW w:w="29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2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Contractual</w:t>
            </w:r>
          </w:p>
        </w:tc>
      </w:tr>
      <w:tr>
        <w:trPr>
          <w:trHeight w:val="234"/>
        </w:trPr>
        <w:tc>
          <w:tcPr>
            <w:tcW w:w="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w w:val="90"/>
              </w:rPr>
              <w:t>Price</w:t>
            </w:r>
          </w:p>
        </w:tc>
        <w:tc>
          <w:tcPr>
            <w:tcW w:w="160" w:type="dxa"/>
            <w:vAlign w:val="bottom"/>
          </w:tcPr>
          <w:p>
            <w:pPr>
              <w:spacing w:after="0"/>
              <w:rPr>
                <w:sz w:val="20"/>
                <w:szCs w:val="20"/>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of Options</w:t>
            </w:r>
          </w:p>
        </w:tc>
        <w:tc>
          <w:tcPr>
            <w:tcW w:w="160" w:type="dxa"/>
            <w:vAlign w:val="bottom"/>
          </w:tcPr>
          <w:p>
            <w:pPr>
              <w:spacing w:after="0"/>
              <w:rPr>
                <w:sz w:val="20"/>
                <w:szCs w:val="20"/>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80" w:type="dxa"/>
            <w:vAlign w:val="bottom"/>
          </w:tcPr>
          <w:p>
            <w:pPr>
              <w:spacing w:after="0"/>
              <w:rPr>
                <w:sz w:val="20"/>
                <w:szCs w:val="20"/>
                <w:color w:val="auto"/>
              </w:rPr>
            </w:pPr>
          </w:p>
        </w:tc>
      </w:tr>
      <w:tr>
        <w:trPr>
          <w:trHeight w:val="209"/>
        </w:trPr>
        <w:tc>
          <w:tcPr>
            <w:tcW w:w="68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2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0.62</w:t>
            </w:r>
          </w:p>
        </w:tc>
        <w:tc>
          <w:tcPr>
            <w:tcW w:w="2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360,000</w:t>
            </w:r>
          </w:p>
        </w:tc>
        <w:tc>
          <w:tcPr>
            <w:tcW w:w="2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4.76</w:t>
            </w:r>
          </w:p>
        </w:tc>
      </w:tr>
      <w:tr>
        <w:trPr>
          <w:trHeight w:val="216"/>
        </w:trPr>
        <w:tc>
          <w:tcPr>
            <w:tcW w:w="68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2400" w:type="dxa"/>
            <w:vAlign w:val="bottom"/>
            <w:gridSpan w:val="2"/>
          </w:tcPr>
          <w:p>
            <w:pPr>
              <w:jc w:val="right"/>
              <w:ind w:right="160"/>
              <w:spacing w:after="0"/>
              <w:rPr>
                <w:sz w:val="20"/>
                <w:szCs w:val="20"/>
                <w:color w:val="auto"/>
              </w:rPr>
            </w:pPr>
            <w:r>
              <w:rPr>
                <w:rFonts w:ascii="Arial" w:cs="Arial" w:eastAsia="Arial" w:hAnsi="Arial"/>
                <w:sz w:val="18"/>
                <w:szCs w:val="18"/>
                <w:color w:val="auto"/>
              </w:rPr>
              <w:t>0.75</w:t>
            </w:r>
          </w:p>
        </w:tc>
        <w:tc>
          <w:tcPr>
            <w:tcW w:w="2980" w:type="dxa"/>
            <w:vAlign w:val="bottom"/>
            <w:gridSpan w:val="2"/>
          </w:tcPr>
          <w:p>
            <w:pPr>
              <w:jc w:val="right"/>
              <w:ind w:right="140"/>
              <w:spacing w:after="0"/>
              <w:rPr>
                <w:sz w:val="20"/>
                <w:szCs w:val="20"/>
                <w:color w:val="auto"/>
              </w:rPr>
            </w:pPr>
            <w:r>
              <w:rPr>
                <w:rFonts w:ascii="Arial" w:cs="Arial" w:eastAsia="Arial" w:hAnsi="Arial"/>
                <w:sz w:val="18"/>
                <w:szCs w:val="18"/>
                <w:color w:val="auto"/>
              </w:rPr>
              <w:t>50,000</w:t>
            </w:r>
          </w:p>
        </w:tc>
        <w:tc>
          <w:tcPr>
            <w:tcW w:w="2920" w:type="dxa"/>
            <w:vAlign w:val="bottom"/>
            <w:gridSpan w:val="2"/>
          </w:tcPr>
          <w:p>
            <w:pPr>
              <w:jc w:val="right"/>
              <w:ind w:right="80"/>
              <w:spacing w:after="0"/>
              <w:rPr>
                <w:sz w:val="20"/>
                <w:szCs w:val="20"/>
                <w:color w:val="auto"/>
              </w:rPr>
            </w:pPr>
            <w:r>
              <w:rPr>
                <w:rFonts w:ascii="Arial" w:cs="Arial" w:eastAsia="Arial" w:hAnsi="Arial"/>
                <w:sz w:val="18"/>
                <w:szCs w:val="18"/>
                <w:color w:val="auto"/>
              </w:rPr>
              <w:t>2.76</w:t>
            </w:r>
          </w:p>
        </w:tc>
      </w:tr>
      <w:tr>
        <w:trPr>
          <w:trHeight w:val="216"/>
        </w:trPr>
        <w:tc>
          <w:tcPr>
            <w:tcW w:w="68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2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0.85</w:t>
            </w:r>
          </w:p>
        </w:tc>
        <w:tc>
          <w:tcPr>
            <w:tcW w:w="2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540,000</w:t>
            </w:r>
          </w:p>
        </w:tc>
        <w:tc>
          <w:tcPr>
            <w:tcW w:w="2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4.76</w:t>
            </w:r>
          </w:p>
        </w:tc>
      </w:tr>
      <w:tr>
        <w:trPr>
          <w:trHeight w:val="216"/>
        </w:trPr>
        <w:tc>
          <w:tcPr>
            <w:tcW w:w="68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2400" w:type="dxa"/>
            <w:vAlign w:val="bottom"/>
            <w:gridSpan w:val="2"/>
          </w:tcPr>
          <w:p>
            <w:pPr>
              <w:jc w:val="right"/>
              <w:ind w:right="160"/>
              <w:spacing w:after="0"/>
              <w:rPr>
                <w:sz w:val="20"/>
                <w:szCs w:val="20"/>
                <w:color w:val="auto"/>
              </w:rPr>
            </w:pPr>
            <w:r>
              <w:rPr>
                <w:rFonts w:ascii="Arial" w:cs="Arial" w:eastAsia="Arial" w:hAnsi="Arial"/>
                <w:sz w:val="18"/>
                <w:szCs w:val="18"/>
                <w:color w:val="auto"/>
              </w:rPr>
              <w:t>0.95</w:t>
            </w:r>
          </w:p>
        </w:tc>
        <w:tc>
          <w:tcPr>
            <w:tcW w:w="2980" w:type="dxa"/>
            <w:vAlign w:val="bottom"/>
            <w:gridSpan w:val="2"/>
          </w:tcPr>
          <w:p>
            <w:pPr>
              <w:jc w:val="right"/>
              <w:ind w:right="140"/>
              <w:spacing w:after="0"/>
              <w:rPr>
                <w:sz w:val="20"/>
                <w:szCs w:val="20"/>
                <w:color w:val="auto"/>
              </w:rPr>
            </w:pPr>
            <w:r>
              <w:rPr>
                <w:rFonts w:ascii="Arial" w:cs="Arial" w:eastAsia="Arial" w:hAnsi="Arial"/>
                <w:sz w:val="18"/>
                <w:szCs w:val="18"/>
                <w:color w:val="auto"/>
              </w:rPr>
              <w:t>50,000</w:t>
            </w:r>
          </w:p>
        </w:tc>
        <w:tc>
          <w:tcPr>
            <w:tcW w:w="2920" w:type="dxa"/>
            <w:vAlign w:val="bottom"/>
            <w:gridSpan w:val="2"/>
          </w:tcPr>
          <w:p>
            <w:pPr>
              <w:jc w:val="right"/>
              <w:ind w:right="80"/>
              <w:spacing w:after="0"/>
              <w:rPr>
                <w:sz w:val="20"/>
                <w:szCs w:val="20"/>
                <w:color w:val="auto"/>
              </w:rPr>
            </w:pPr>
            <w:r>
              <w:rPr>
                <w:rFonts w:ascii="Arial" w:cs="Arial" w:eastAsia="Arial" w:hAnsi="Arial"/>
                <w:sz w:val="18"/>
                <w:szCs w:val="18"/>
                <w:color w:val="auto"/>
              </w:rPr>
              <w:t>2.76</w:t>
            </w:r>
          </w:p>
        </w:tc>
      </w:tr>
      <w:tr>
        <w:trPr>
          <w:trHeight w:val="216"/>
        </w:trPr>
        <w:tc>
          <w:tcPr>
            <w:tcW w:w="68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2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w:t>
            </w:r>
          </w:p>
        </w:tc>
        <w:tc>
          <w:tcPr>
            <w:tcW w:w="2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75,000</w:t>
            </w:r>
          </w:p>
        </w:tc>
        <w:tc>
          <w:tcPr>
            <w:tcW w:w="2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w:t>
            </w:r>
          </w:p>
        </w:tc>
      </w:tr>
      <w:tr>
        <w:trPr>
          <w:trHeight w:val="216"/>
        </w:trPr>
        <w:tc>
          <w:tcPr>
            <w:tcW w:w="68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2400" w:type="dxa"/>
            <w:vAlign w:val="bottom"/>
            <w:gridSpan w:val="2"/>
          </w:tcPr>
          <w:p>
            <w:pPr>
              <w:jc w:val="right"/>
              <w:ind w:right="160"/>
              <w:spacing w:after="0"/>
              <w:rPr>
                <w:sz w:val="20"/>
                <w:szCs w:val="20"/>
                <w:color w:val="auto"/>
              </w:rPr>
            </w:pPr>
            <w:r>
              <w:rPr>
                <w:rFonts w:ascii="Arial" w:cs="Arial" w:eastAsia="Arial" w:hAnsi="Arial"/>
                <w:sz w:val="18"/>
                <w:szCs w:val="18"/>
                <w:color w:val="auto"/>
              </w:rPr>
              <w:t>1.20</w:t>
            </w:r>
          </w:p>
        </w:tc>
        <w:tc>
          <w:tcPr>
            <w:tcW w:w="2980" w:type="dxa"/>
            <w:vAlign w:val="bottom"/>
            <w:gridSpan w:val="2"/>
          </w:tcPr>
          <w:p>
            <w:pPr>
              <w:jc w:val="right"/>
              <w:ind w:right="140"/>
              <w:spacing w:after="0"/>
              <w:rPr>
                <w:sz w:val="20"/>
                <w:szCs w:val="20"/>
                <w:color w:val="auto"/>
              </w:rPr>
            </w:pPr>
            <w:r>
              <w:rPr>
                <w:rFonts w:ascii="Arial" w:cs="Arial" w:eastAsia="Arial" w:hAnsi="Arial"/>
                <w:sz w:val="18"/>
                <w:szCs w:val="18"/>
                <w:color w:val="auto"/>
              </w:rPr>
              <w:t>900,000</w:t>
            </w:r>
          </w:p>
        </w:tc>
        <w:tc>
          <w:tcPr>
            <w:tcW w:w="2920" w:type="dxa"/>
            <w:vAlign w:val="bottom"/>
            <w:gridSpan w:val="2"/>
          </w:tcPr>
          <w:p>
            <w:pPr>
              <w:jc w:val="right"/>
              <w:ind w:right="80"/>
              <w:spacing w:after="0"/>
              <w:rPr>
                <w:sz w:val="20"/>
                <w:szCs w:val="20"/>
                <w:color w:val="auto"/>
              </w:rPr>
            </w:pPr>
            <w:r>
              <w:rPr>
                <w:rFonts w:ascii="Arial" w:cs="Arial" w:eastAsia="Arial" w:hAnsi="Arial"/>
                <w:sz w:val="18"/>
                <w:szCs w:val="18"/>
                <w:color w:val="auto"/>
              </w:rPr>
              <w:t>4.76</w:t>
            </w:r>
          </w:p>
        </w:tc>
      </w:tr>
      <w:tr>
        <w:trPr>
          <w:trHeight w:val="216"/>
        </w:trPr>
        <w:tc>
          <w:tcPr>
            <w:tcW w:w="68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2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w:t>
            </w:r>
          </w:p>
        </w:tc>
        <w:tc>
          <w:tcPr>
            <w:tcW w:w="2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100,000</w:t>
            </w:r>
          </w:p>
        </w:tc>
        <w:tc>
          <w:tcPr>
            <w:tcW w:w="2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0.67</w:t>
            </w:r>
          </w:p>
        </w:tc>
      </w:tr>
      <w:tr>
        <w:trPr>
          <w:trHeight w:val="216"/>
        </w:trPr>
        <w:tc>
          <w:tcPr>
            <w:tcW w:w="68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2400" w:type="dxa"/>
            <w:vAlign w:val="bottom"/>
            <w:gridSpan w:val="2"/>
          </w:tcPr>
          <w:p>
            <w:pPr>
              <w:jc w:val="right"/>
              <w:ind w:right="160"/>
              <w:spacing w:after="0"/>
              <w:rPr>
                <w:sz w:val="20"/>
                <w:szCs w:val="20"/>
                <w:color w:val="auto"/>
              </w:rPr>
            </w:pPr>
            <w:r>
              <w:rPr>
                <w:rFonts w:ascii="Arial" w:cs="Arial" w:eastAsia="Arial" w:hAnsi="Arial"/>
                <w:sz w:val="18"/>
                <w:szCs w:val="18"/>
                <w:color w:val="auto"/>
              </w:rPr>
              <w:t>1.50</w:t>
            </w:r>
          </w:p>
        </w:tc>
        <w:tc>
          <w:tcPr>
            <w:tcW w:w="2980" w:type="dxa"/>
            <w:vAlign w:val="bottom"/>
            <w:gridSpan w:val="2"/>
          </w:tcPr>
          <w:p>
            <w:pPr>
              <w:jc w:val="right"/>
              <w:ind w:right="140"/>
              <w:spacing w:after="0"/>
              <w:rPr>
                <w:sz w:val="20"/>
                <w:szCs w:val="20"/>
                <w:color w:val="auto"/>
              </w:rPr>
            </w:pPr>
            <w:r>
              <w:rPr>
                <w:rFonts w:ascii="Arial" w:cs="Arial" w:eastAsia="Arial" w:hAnsi="Arial"/>
                <w:sz w:val="18"/>
                <w:szCs w:val="18"/>
                <w:color w:val="auto"/>
              </w:rPr>
              <w:t>125,000</w:t>
            </w:r>
          </w:p>
        </w:tc>
        <w:tc>
          <w:tcPr>
            <w:tcW w:w="2920" w:type="dxa"/>
            <w:vAlign w:val="bottom"/>
            <w:gridSpan w:val="2"/>
          </w:tcPr>
          <w:p>
            <w:pPr>
              <w:jc w:val="right"/>
              <w:ind w:right="80"/>
              <w:spacing w:after="0"/>
              <w:rPr>
                <w:sz w:val="20"/>
                <w:szCs w:val="20"/>
                <w:color w:val="auto"/>
              </w:rPr>
            </w:pPr>
            <w:r>
              <w:rPr>
                <w:rFonts w:ascii="Arial" w:cs="Arial" w:eastAsia="Arial" w:hAnsi="Arial"/>
                <w:sz w:val="18"/>
                <w:szCs w:val="18"/>
                <w:color w:val="auto"/>
              </w:rPr>
              <w:t>2.76</w:t>
            </w:r>
          </w:p>
        </w:tc>
      </w:tr>
      <w:tr>
        <w:trPr>
          <w:trHeight w:val="216"/>
        </w:trPr>
        <w:tc>
          <w:tcPr>
            <w:tcW w:w="68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2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w:t>
            </w:r>
          </w:p>
        </w:tc>
        <w:tc>
          <w:tcPr>
            <w:tcW w:w="2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100,000</w:t>
            </w:r>
          </w:p>
        </w:tc>
        <w:tc>
          <w:tcPr>
            <w:tcW w:w="2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0.42</w:t>
            </w:r>
          </w:p>
        </w:tc>
      </w:tr>
      <w:tr>
        <w:trPr>
          <w:trHeight w:val="216"/>
        </w:trPr>
        <w:tc>
          <w:tcPr>
            <w:tcW w:w="68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2400" w:type="dxa"/>
            <w:vAlign w:val="bottom"/>
            <w:gridSpan w:val="2"/>
          </w:tcPr>
          <w:p>
            <w:pPr>
              <w:jc w:val="right"/>
              <w:ind w:right="160"/>
              <w:spacing w:after="0"/>
              <w:rPr>
                <w:sz w:val="20"/>
                <w:szCs w:val="20"/>
                <w:color w:val="auto"/>
              </w:rPr>
            </w:pPr>
            <w:r>
              <w:rPr>
                <w:rFonts w:ascii="Arial" w:cs="Arial" w:eastAsia="Arial" w:hAnsi="Arial"/>
                <w:sz w:val="18"/>
                <w:szCs w:val="18"/>
                <w:color w:val="auto"/>
              </w:rPr>
              <w:t>2.00</w:t>
            </w:r>
          </w:p>
        </w:tc>
        <w:tc>
          <w:tcPr>
            <w:tcW w:w="2980" w:type="dxa"/>
            <w:vAlign w:val="bottom"/>
            <w:gridSpan w:val="2"/>
          </w:tcPr>
          <w:p>
            <w:pPr>
              <w:jc w:val="right"/>
              <w:ind w:right="140"/>
              <w:spacing w:after="0"/>
              <w:rPr>
                <w:sz w:val="20"/>
                <w:szCs w:val="20"/>
                <w:color w:val="auto"/>
              </w:rPr>
            </w:pPr>
            <w:r>
              <w:rPr>
                <w:rFonts w:ascii="Arial" w:cs="Arial" w:eastAsia="Arial" w:hAnsi="Arial"/>
                <w:sz w:val="18"/>
                <w:szCs w:val="18"/>
                <w:color w:val="auto"/>
              </w:rPr>
              <w:t>125,000</w:t>
            </w:r>
          </w:p>
        </w:tc>
        <w:tc>
          <w:tcPr>
            <w:tcW w:w="2920" w:type="dxa"/>
            <w:vAlign w:val="bottom"/>
            <w:gridSpan w:val="2"/>
          </w:tcPr>
          <w:p>
            <w:pPr>
              <w:jc w:val="right"/>
              <w:ind w:right="80"/>
              <w:spacing w:after="0"/>
              <w:rPr>
                <w:sz w:val="20"/>
                <w:szCs w:val="20"/>
                <w:color w:val="auto"/>
              </w:rPr>
            </w:pPr>
            <w:r>
              <w:rPr>
                <w:rFonts w:ascii="Arial" w:cs="Arial" w:eastAsia="Arial" w:hAnsi="Arial"/>
                <w:sz w:val="18"/>
                <w:szCs w:val="18"/>
                <w:color w:val="auto"/>
              </w:rPr>
              <w:t>2.76</w:t>
            </w:r>
          </w:p>
        </w:tc>
      </w:tr>
      <w:tr>
        <w:trPr>
          <w:trHeight w:val="216"/>
        </w:trPr>
        <w:tc>
          <w:tcPr>
            <w:tcW w:w="68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2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w:t>
            </w:r>
          </w:p>
        </w:tc>
        <w:tc>
          <w:tcPr>
            <w:tcW w:w="2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125,000</w:t>
            </w:r>
          </w:p>
        </w:tc>
        <w:tc>
          <w:tcPr>
            <w:tcW w:w="2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2.76</w:t>
            </w:r>
          </w:p>
        </w:tc>
      </w:tr>
      <w:tr>
        <w:trPr>
          <w:trHeight w:val="216"/>
        </w:trPr>
        <w:tc>
          <w:tcPr>
            <w:tcW w:w="80" w:type="dxa"/>
            <w:vAlign w:val="bottom"/>
          </w:tcPr>
          <w:p>
            <w:pPr>
              <w:spacing w:after="0"/>
              <w:rPr>
                <w:sz w:val="18"/>
                <w:szCs w:val="18"/>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2400" w:type="dxa"/>
            <w:vAlign w:val="bottom"/>
            <w:gridSpan w:val="2"/>
          </w:tcPr>
          <w:p>
            <w:pPr>
              <w:jc w:val="right"/>
              <w:ind w:right="160"/>
              <w:spacing w:after="0"/>
              <w:rPr>
                <w:sz w:val="20"/>
                <w:szCs w:val="20"/>
                <w:color w:val="auto"/>
              </w:rPr>
            </w:pPr>
            <w:r>
              <w:rPr>
                <w:rFonts w:ascii="Arial" w:cs="Arial" w:eastAsia="Arial" w:hAnsi="Arial"/>
                <w:sz w:val="18"/>
                <w:szCs w:val="18"/>
                <w:color w:val="auto"/>
              </w:rPr>
              <w:t>3.00</w:t>
            </w:r>
          </w:p>
        </w:tc>
        <w:tc>
          <w:tcPr>
            <w:tcW w:w="2980" w:type="dxa"/>
            <w:vAlign w:val="bottom"/>
            <w:gridSpan w:val="2"/>
          </w:tcPr>
          <w:p>
            <w:pPr>
              <w:jc w:val="right"/>
              <w:ind w:right="140"/>
              <w:spacing w:after="0"/>
              <w:rPr>
                <w:sz w:val="20"/>
                <w:szCs w:val="20"/>
                <w:color w:val="auto"/>
              </w:rPr>
            </w:pPr>
            <w:r>
              <w:rPr>
                <w:rFonts w:ascii="Arial" w:cs="Arial" w:eastAsia="Arial" w:hAnsi="Arial"/>
                <w:sz w:val="18"/>
                <w:szCs w:val="18"/>
                <w:color w:val="auto"/>
              </w:rPr>
              <w:t>125,000</w:t>
            </w:r>
          </w:p>
        </w:tc>
        <w:tc>
          <w:tcPr>
            <w:tcW w:w="2920" w:type="dxa"/>
            <w:vAlign w:val="bottom"/>
            <w:gridSpan w:val="2"/>
          </w:tcPr>
          <w:p>
            <w:pPr>
              <w:jc w:val="right"/>
              <w:ind w:right="80"/>
              <w:spacing w:after="0"/>
              <w:rPr>
                <w:sz w:val="20"/>
                <w:szCs w:val="20"/>
                <w:color w:val="auto"/>
              </w:rPr>
            </w:pPr>
            <w:r>
              <w:rPr>
                <w:rFonts w:ascii="Arial" w:cs="Arial" w:eastAsia="Arial" w:hAnsi="Arial"/>
                <w:sz w:val="18"/>
                <w:szCs w:val="18"/>
                <w:color w:val="auto"/>
              </w:rPr>
              <w:t>2.76</w:t>
            </w:r>
          </w:p>
        </w:tc>
      </w:tr>
      <w:tr>
        <w:trPr>
          <w:trHeight w:val="20"/>
        </w:trPr>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2,675,000</w:t>
            </w:r>
          </w:p>
        </w:tc>
        <w:tc>
          <w:tcPr>
            <w:tcW w:w="2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3.92</w:t>
            </w:r>
          </w:p>
        </w:tc>
      </w:tr>
      <w:tr>
        <w:trPr>
          <w:trHeight w:val="20"/>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Significant Recent Accounting Pronouncements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January 2017, the FASB issued ASU No. 2017-04, Simplifying the Test for Goodwill Impairment (“ASU No. 2017-04”), which simplifies the subsequent measurement of goodwill by eliminating Step 2 from the goodwill impairment test. In computing the implied fair value of goodwill under Step 2, current U.S. GAAP requires the performance of procedures to determine the fair value at the impairment testing date of assets and liabilities (including unrecognized assets and liabilities) following the procedure that would be required in determining the fair value of assets acquired and liabilities assumed in a business combination. Instead, the amendments under this ASU require the goodwill impairment test to be performed by comparing the fair value of a reporting unit with its carrying amount. An impairment charge should be recognized for the amount by which the carrying amount exceeds the reporting unit’s fair value; however, the loss recognized should not exceed the total amount of goodwill allocated to that reporting unit. This ASU became effective January 1, 2020. The adoption of ASU No. 2017-04 did not have a material impact on our results of operations, cash flows, or financial condition.</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accompanying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GBC Sub, Inc. (d/b/a TheGiftBox)</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Effective July 23, 2019, P Innovations acquired certain assets of GBC Sub, Inc. (d/b/a The GiftBox) (“GiftBox”) (the “GiftBox Asset Purchase Agreement”). GiftBox, a privately held Nevada corporation controlled by David Polinsky, a director of the Company, was in the business of subscription-based ecommerce. The consideration for the assets purchased was a nominal amount of cash. The GiftBox Asset Purchase Agreement also provides the sellers the option to acquire 30% of P Innovations subject to dilution for a period of thirty-six months following the date of the Giftbox Asset Purchase Agreement; the option will only be exercisable if there is a spinoff of P Innovations to Innovative Food Holdings shareholders. The Company is evaluating its preliminary purchase price allocation. As a result, during the preliminary purchase price allocation period, which may be up to one year from the asset purchase date, we may record adjustments to the assets acquired.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Mouth Foods, Inc.</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July 6, 2018, M Innovations acquired certain assets of Mouth Foods, Inc. from MFI (assignment for the benefit of creditors), LLC (“MFI”), the assignee of Mouth Foods, Inc.’s assets in connection with a Delaware assignment proceeding, pursuant to the terms of an Asset Purchase Agreement (“MFI APA”). The MFI APA was accounted for as an acquisition of an ongoing business in accordance with ASC Topic 805 - Business Combinations (“ASC 805”), where the Company was treated as the acquirer and the acquired assets and assumed liabilities were recorded by the Company at their preliminary estimated fair values. Mouth Foods, Inc., was a privately held New York company operating out of Brooklyn, was an expert curator and online retailer of high quality specialty foods from small-batch makers in the US.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consideration for and in connection with the acquisition consisted of (i) closing related cash payments of $208,355; (ii) additional revenue-based contingent liabilities valued by management at $100,000 related to certain future sales of purchased assets payable under the following terms: payment of 5% of certain revenues, with no payments on the first $500,000 of revenues and no payments on revenues after June 30, 2020; (iii) additional revenue based contingent liabilities of up to $185,000 associated with the purchase of certain debt of the seller; and (iv) additional contingent liability consideration valued by management at approximately $20,000.</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acquisition date estimated fair value of the consideration transferred totaled $513,355. During the year ended December 31, 2018, the Company changed the original allocation of the purchase price among the assets acquired. The reallocated purchase price consisted of the following:</w:t>
      </w:r>
    </w:p>
    <w:p>
      <w:pPr>
        <w:spacing w:after="0" w:line="16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208,355</w:t>
            </w: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Contingent liability – payable to debt holder</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185,000</w:t>
            </w:r>
          </w:p>
        </w:tc>
        <w:tc>
          <w:tcPr>
            <w:tcW w:w="80" w:type="dxa"/>
            <w:vAlign w:val="bottom"/>
          </w:tcPr>
          <w:p>
            <w:pPr>
              <w:spacing w:after="0"/>
              <w:rPr>
                <w:sz w:val="18"/>
                <w:szCs w:val="18"/>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liabilities – payable to sellers</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Additional Contingent Liabilities</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20,000</w:t>
            </w:r>
          </w:p>
        </w:tc>
      </w:tr>
      <w:tr>
        <w:trPr>
          <w:trHeight w:val="249"/>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price</w:t>
            </w: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513,355</w:t>
            </w:r>
          </w:p>
        </w:tc>
        <w:tc>
          <w:tcPr>
            <w:tcW w:w="80" w:type="dxa"/>
            <w:vAlign w:val="bottom"/>
            <w:tcBorders>
              <w:bottom w:val="single" w:sz="8" w:color="CCEEFF"/>
            </w:tcBorders>
            <w:shd w:val="clear" w:color="auto" w:fill="CCEEFF"/>
          </w:tcPr>
          <w:p>
            <w:pPr>
              <w:spacing w:after="0"/>
              <w:rPr>
                <w:sz w:val="21"/>
                <w:szCs w:val="21"/>
                <w:color w:val="auto"/>
              </w:rPr>
            </w:pPr>
          </w:p>
        </w:tc>
      </w:tr>
      <w:tr>
        <w:trPr>
          <w:trHeight w:val="197"/>
        </w:trPr>
        <w:tc>
          <w:tcPr>
            <w:tcW w:w="7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Tangible assets acquired</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57,000</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Intangible assets acquired</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419,926</w:t>
            </w:r>
          </w:p>
        </w:tc>
        <w:tc>
          <w:tcPr>
            <w:tcW w:w="80" w:type="dxa"/>
            <w:vAlign w:val="bottom"/>
          </w:tcPr>
          <w:p>
            <w:pPr>
              <w:spacing w:after="0"/>
              <w:rPr>
                <w:sz w:val="18"/>
                <w:szCs w:val="18"/>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acquired</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36,429</w:t>
            </w:r>
          </w:p>
        </w:tc>
      </w:tr>
      <w:tr>
        <w:trPr>
          <w:trHeight w:val="210"/>
        </w:trPr>
        <w:tc>
          <w:tcPr>
            <w:tcW w:w="73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Total purchase price</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513,355</w:t>
            </w:r>
          </w:p>
        </w:tc>
        <w:tc>
          <w:tcPr>
            <w:tcW w:w="80" w:type="dxa"/>
            <w:vAlign w:val="bottom"/>
            <w:tcBorders>
              <w:top w:val="single" w:sz="8" w:color="CCEEFF"/>
            </w:tcBorders>
          </w:tcPr>
          <w:p>
            <w:pPr>
              <w:spacing w:after="0"/>
              <w:rPr>
                <w:sz w:val="18"/>
                <w:szCs w:val="18"/>
                <w:color w:val="auto"/>
              </w:rPr>
            </w:pPr>
          </w:p>
        </w:tc>
      </w:tr>
      <w:tr>
        <w:trPr>
          <w:trHeight w:val="20"/>
        </w:trPr>
        <w:tc>
          <w:tcPr>
            <w:tcW w:w="7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above estimated fair value of the intangible assets is based on management’s estimates. Going forward, adjustments to assets acquired or liabilities assumed subsequent to the purchase price allocation period will be made in our operating results in the period in which the adjustments are determined. During the three months ended March 31, 2020, the Company performed a goodwill impairment test based upon future growth projections which include estimates of COVID-19’s impact on our business. As a result of impairment test, the Company recorded an impairment of the intangible assets related to the Mouth Foods acquisition in the amount of $104,018 (see note 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igourmet, LLC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igourmet Asset Purchase Agreement effective January 23, 2018 (the “igourmet APA”) was accounted for as an acquisition of an ongoing business in accordance with ASC Topic 805 - Business Combinations (“ASC 805”), where the Company was treated as the acquirer and the acquired assets and certain liabilities not purchased or assumed by Innovative Gourmet, which under certain circumstances, Innovative Gourmet may determine to pay, were recorded by the Company at their preliminary estimated fair values.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consideration for and in connection with the igourmet APA consisted of: (i) $1,500,000, which satisfied or reduced secured, priority and administrative debt of sellers; (ii) in connection with and prior to the acquisition, our wholly-owned subsidiary, Food Funding, funded advances of $325,500 to sellers on a secured basis, pursuant to certain loan documents and as bridge loans, which loans were reduced by the proceeds of the igourmet APA; (iii) the purchase for $200,000 of certain debt owed by sellers, to be paid out of, if available, Innovative Gourmet’s cash flow; (iv) potential contingent liability allocation for a percentage of sellers’ approximately $2,300,000 of certain debt, not purchased or assumed by Innovative Gourmet, which under certain circumstances, Innovative Gourmet may determine to pay; and (v) additional purchase price consideration of (a) up to a maximum of $1,500,000, if EBITDA of Innovative Gourmet reaches $800,000 thousand in 2018, (b) up to a maximum of $1,750,000, if EBITDA of Innovative Gourmet in 2019 exceeds its EBITDA in 2018 by at least 20% and if its EBITDA reaches $5,000,000; and (c) up to a maximum of $2,125,000, if EBITDA of Innovative Gourmet in 2020 exceeds its EBITDA in 2019 by at least 20% and if its EBITDA reaches $8,000,000. The additional purchase price consolidation milestone for 2018 and 2019 were not met. The EBITDA based earnout shall be paid 37.5% in cash, 25% in Innovative Food Holdings shares valued at the time of the closing of this transaction and 37.5%, at Innovative Gourmet’s option, in Innovative Food Holdings shares valued at the time of the payment of the earnout or in cash.</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igourmet APA, our wholly-owned subsidiary, Food Funding, purchased seller’s senior secured note at a price of approximately $1,187,000, pursuant to the terms of a Loan Sale Agreement with UPS Capital Business Credit. That note was reduced by the proceeds of the igourmet APA as disclosed in (i) above.</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acquisition date estimated fair value of the consideration transferred totaled $4,151,243. During the year ended December 31, 2018, the Company made the following purchase price adjustments: (i) accrued an additional $286,239 for accounts payable prior to acquisition; (ii) decreased contingent liabilities by the amount of $392,900 for earnout payments not made; (iii) decreased accounts receivable in the amount of $108,893 for amounts not collected; and (4) increased deferred revenue in the amount of $231,169 for shipments made. These adjustments increased the value of the acquisition to $4,275,751. At December 31, 2018, the value of the acquisition consisted of the following:</w:t>
      </w:r>
    </w:p>
    <w:p>
      <w:pPr>
        <w:sectPr>
          <w:pgSz w:w="11900" w:h="16838" w:orient="portrait"/>
          <w:cols w:equalWidth="0" w:num="1">
            <w:col w:w="11240"/>
          </w:cols>
          <w:pgMar w:left="320" w:top="125" w:right="339" w:bottom="1440" w:gutter="0" w:footer="0" w:header="0"/>
        </w:sectPr>
      </w:pPr>
    </w:p>
    <w:p>
      <w:pPr>
        <w:spacing w:after="0" w:line="17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Initial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-121920</wp:posOffset>
            </wp:positionV>
            <wp:extent cx="570039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Cash payable in connection with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20320</wp:posOffset>
            </wp:positionV>
            <wp:extent cx="5700395"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1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5715</wp:posOffset>
            </wp:positionV>
            <wp:extent cx="5700395"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Contingent liabilities</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 purchase price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798" w:hanging="798"/>
        <w:spacing w:after="0"/>
        <w:tabs>
          <w:tab w:leader="none" w:pos="798" w:val="left"/>
        </w:tabs>
        <w:numPr>
          <w:ilvl w:val="0"/>
          <w:numId w:val="3"/>
        </w:numPr>
        <w:rPr>
          <w:rFonts w:ascii="Arial" w:cs="Arial" w:eastAsia="Arial" w:hAnsi="Arial"/>
          <w:sz w:val="16"/>
          <w:szCs w:val="16"/>
          <w:color w:val="auto"/>
        </w:rPr>
      </w:pPr>
      <w:r>
        <w:rPr>
          <w:rFonts w:ascii="Arial" w:cs="Arial" w:eastAsia="Arial" w:hAnsi="Arial"/>
          <w:sz w:val="16"/>
          <w:szCs w:val="16"/>
          <w:color w:val="auto"/>
        </w:rPr>
        <w:t>1,500,000</w:t>
      </w:r>
    </w:p>
    <w:p>
      <w:pPr>
        <w:spacing w:after="0" w:line="46" w:lineRule="exact"/>
        <w:rPr>
          <w:rFonts w:ascii="Arial" w:cs="Arial" w:eastAsia="Arial" w:hAnsi="Arial"/>
          <w:sz w:val="16"/>
          <w:szCs w:val="16"/>
          <w:color w:val="auto"/>
        </w:rPr>
      </w:pPr>
    </w:p>
    <w:p>
      <w:pPr>
        <w:ind w:left="798"/>
        <w:spacing w:after="0"/>
        <w:rPr>
          <w:rFonts w:ascii="Arial" w:cs="Arial" w:eastAsia="Arial" w:hAnsi="Arial"/>
          <w:sz w:val="16"/>
          <w:szCs w:val="16"/>
          <w:color w:val="auto"/>
        </w:rPr>
      </w:pPr>
      <w:r>
        <w:rPr>
          <w:rFonts w:ascii="Arial" w:cs="Arial" w:eastAsia="Arial" w:hAnsi="Arial"/>
          <w:sz w:val="16"/>
          <w:szCs w:val="16"/>
          <w:color w:val="auto"/>
        </w:rPr>
        <w:t>1,863,443</w:t>
      </w:r>
    </w:p>
    <w:p>
      <w:pPr>
        <w:spacing w:after="0" w:line="32" w:lineRule="exact"/>
        <w:rPr>
          <w:rFonts w:ascii="Arial" w:cs="Arial" w:eastAsia="Arial" w:hAnsi="Arial"/>
          <w:sz w:val="16"/>
          <w:szCs w:val="16"/>
          <w:color w:val="auto"/>
        </w:rPr>
      </w:pPr>
    </w:p>
    <w:p>
      <w:pPr>
        <w:ind w:left="938"/>
        <w:spacing w:after="0"/>
        <w:rPr>
          <w:rFonts w:ascii="Arial" w:cs="Arial" w:eastAsia="Arial" w:hAnsi="Arial"/>
          <w:sz w:val="16"/>
          <w:szCs w:val="16"/>
          <w:color w:val="auto"/>
        </w:rPr>
      </w:pPr>
      <w:r>
        <w:rPr>
          <w:rFonts w:ascii="Arial" w:cs="Arial" w:eastAsia="Arial" w:hAnsi="Arial"/>
          <w:sz w:val="16"/>
          <w:szCs w:val="16"/>
          <w:color w:val="auto"/>
        </w:rPr>
        <w:t>286,239</w:t>
      </w:r>
    </w:p>
    <w:p>
      <w:pPr>
        <w:spacing w:after="0" w:line="32" w:lineRule="exact"/>
        <w:rPr>
          <w:rFonts w:ascii="Arial" w:cs="Arial" w:eastAsia="Arial" w:hAnsi="Arial"/>
          <w:sz w:val="16"/>
          <w:szCs w:val="16"/>
          <w:color w:val="auto"/>
        </w:rPr>
      </w:pPr>
    </w:p>
    <w:p>
      <w:pPr>
        <w:ind w:left="938"/>
        <w:spacing w:after="0"/>
        <w:rPr>
          <w:rFonts w:ascii="Arial" w:cs="Arial" w:eastAsia="Arial" w:hAnsi="Arial"/>
          <w:sz w:val="16"/>
          <w:szCs w:val="16"/>
          <w:color w:val="auto"/>
        </w:rPr>
      </w:pPr>
      <w:r>
        <w:rPr>
          <w:rFonts w:ascii="Arial" w:cs="Arial" w:eastAsia="Arial" w:hAnsi="Arial"/>
          <w:sz w:val="16"/>
          <w:szCs w:val="16"/>
          <w:color w:val="auto"/>
        </w:rPr>
        <w:t>231,169</w:t>
      </w:r>
    </w:p>
    <w:p>
      <w:pPr>
        <w:spacing w:after="0" w:line="32" w:lineRule="exact"/>
        <w:rPr>
          <w:rFonts w:ascii="Arial" w:cs="Arial" w:eastAsia="Arial" w:hAnsi="Arial"/>
          <w:sz w:val="16"/>
          <w:szCs w:val="16"/>
          <w:color w:val="auto"/>
        </w:rPr>
      </w:pPr>
    </w:p>
    <w:p>
      <w:pPr>
        <w:ind w:left="938"/>
        <w:spacing w:after="0"/>
        <w:rPr>
          <w:rFonts w:ascii="Arial" w:cs="Arial" w:eastAsia="Arial" w:hAnsi="Arial"/>
          <w:sz w:val="16"/>
          <w:szCs w:val="16"/>
          <w:color w:val="auto"/>
        </w:rPr>
      </w:pPr>
      <w:r>
        <w:rPr>
          <w:rFonts w:ascii="Arial" w:cs="Arial" w:eastAsia="Arial" w:hAnsi="Arial"/>
          <w:sz w:val="16"/>
          <w:szCs w:val="16"/>
          <w:color w:val="auto"/>
        </w:rPr>
        <w:t>394,900</w:t>
      </w:r>
    </w:p>
    <w:p>
      <w:pPr>
        <w:spacing w:after="0" w:line="32" w:lineRule="exact"/>
        <w:rPr>
          <w:sz w:val="20"/>
          <w:szCs w:val="20"/>
          <w:color w:val="auto"/>
        </w:rPr>
      </w:pPr>
    </w:p>
    <w:p>
      <w:pPr>
        <w:ind w:left="798" w:hanging="798"/>
        <w:spacing w:after="0"/>
        <w:tabs>
          <w:tab w:leader="none" w:pos="798" w:val="left"/>
        </w:tabs>
        <w:numPr>
          <w:ilvl w:val="0"/>
          <w:numId w:val="4"/>
        </w:numPr>
        <w:rPr>
          <w:rFonts w:ascii="Arial" w:cs="Arial" w:eastAsia="Arial" w:hAnsi="Arial"/>
          <w:sz w:val="16"/>
          <w:szCs w:val="16"/>
          <w:color w:val="auto"/>
        </w:rPr>
      </w:pPr>
      <w:r>
        <w:rPr>
          <w:rFonts w:ascii="Arial" w:cs="Arial" w:eastAsia="Arial" w:hAnsi="Arial"/>
          <w:sz w:val="16"/>
          <w:szCs w:val="16"/>
          <w:color w:val="auto"/>
        </w:rPr>
        <w:t>4,275,751</w:t>
      </w:r>
    </w:p>
    <w:p>
      <w:pPr>
        <w:spacing w:after="0" w:line="46" w:lineRule="exact"/>
        <w:rPr>
          <w:sz w:val="20"/>
          <w:szCs w:val="20"/>
          <w:color w:val="auto"/>
        </w:rPr>
      </w:pPr>
    </w:p>
    <w:p>
      <w:pPr>
        <w:sectPr>
          <w:pgSz w:w="11900" w:h="16838" w:orient="portrait"/>
          <w:cols w:equalWidth="0" w:num="2">
            <w:col w:w="7782" w:space="720"/>
            <w:col w:w="2738"/>
          </w:cols>
          <w:pgMar w:left="320" w:top="125" w:right="339" w:bottom="1440" w:gutter="0" w:footer="0" w:header="0"/>
          <w:type w:val="continuous"/>
        </w:sectPr>
      </w:pPr>
    </w:p>
    <w:tbl>
      <w:tblPr>
        <w:tblLayout w:type="fixed"/>
        <w:tblInd w:w="1120" w:type="dxa"/>
        <w:tblCellMar>
          <w:top w:w="0" w:type="dxa"/>
          <w:left w:w="0" w:type="dxa"/>
          <w:bottom w:w="0" w:type="dxa"/>
          <w:right w:w="0" w:type="dxa"/>
        </w:tblCellMar>
      </w:tblPr>
      <w:tr>
        <w:trPr>
          <w:trHeight w:val="237"/>
        </w:trPr>
        <w:tc>
          <w:tcPr>
            <w:tcW w:w="7380" w:type="dxa"/>
            <w:vAlign w:val="bottom"/>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Tangible assets acquired</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842,458</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acquired</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2,970,600</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Goodwill acquired</w:t>
            </w:r>
          </w:p>
        </w:tc>
        <w:tc>
          <w:tcPr>
            <w:tcW w:w="4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462,693</w:t>
            </w:r>
          </w:p>
        </w:tc>
      </w:tr>
      <w:tr>
        <w:trPr>
          <w:trHeight w:val="20"/>
        </w:trPr>
        <w:tc>
          <w:tcPr>
            <w:tcW w:w="7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purchase price</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4,275,751</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above estimated fair value of the intangible assets is based on a third party valuation expert and also includes additional analysis by management based on a subsequent analysis of the transaction and adjustments to the assets acquired and liabilities assumed, with the corresponding offset to goodwill. Going forward, adjustments to assets acquired or liabilities assumed subsequent to the purchase price allocation period will be made in our operating results in the period in which the adjustments are determined. During the three months ended March 31, 2020, as a result of the negative effect of COVID-19 on the Company’s foodservice customers, the Company performed a goodwill impairment test based upon future growth projections which include estimates of COVID-19’s impact on our business. As a result of impairment test, the Company recorded an impairment of the intangible assets related to the igourmet acquisition in the amount of $1,126,417 (see note 9).</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4. ACCOUNTS RECEIVABLE</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800" w:type="dxa"/>
            <w:vAlign w:val="bottom"/>
            <w:gridSpan w:val="2"/>
          </w:tcPr>
          <w:p>
            <w:pPr>
              <w:spacing w:after="0"/>
              <w:rPr>
                <w:sz w:val="20"/>
                <w:szCs w:val="20"/>
                <w:color w:val="auto"/>
              </w:rPr>
            </w:pPr>
            <w:r>
              <w:rPr>
                <w:rFonts w:ascii="Arial" w:cs="Arial" w:eastAsia="Arial" w:hAnsi="Arial"/>
                <w:sz w:val="18"/>
                <w:szCs w:val="18"/>
                <w:color w:val="auto"/>
              </w:rPr>
              <w:t>At March 31, 2020 and December 31, 2019, accounts receivable consists of:</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1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from customers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2,177,315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3,405,114</w:t>
            </w: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(317,277)</w:t>
            </w:r>
          </w:p>
        </w:tc>
        <w:tc>
          <w:tcPr>
            <w:tcW w:w="1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(95,284)</w:t>
            </w:r>
          </w:p>
        </w:tc>
      </w:tr>
      <w:tr>
        <w:trPr>
          <w:trHeight w:val="20"/>
        </w:trPr>
        <w:tc>
          <w:tcPr>
            <w:tcW w:w="11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1120" w:type="dxa"/>
            <w:vAlign w:val="bottom"/>
          </w:tcPr>
          <w:p>
            <w:pPr>
              <w:spacing w:after="0"/>
              <w:rPr>
                <w:sz w:val="19"/>
                <w:szCs w:val="19"/>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1,860,038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3,309,830</w:t>
            </w:r>
          </w:p>
        </w:tc>
      </w:tr>
      <w:tr>
        <w:trPr>
          <w:trHeight w:val="20"/>
        </w:trPr>
        <w:tc>
          <w:tcPr>
            <w:tcW w:w="1120" w:type="dxa"/>
            <w:vAlign w:val="bottom"/>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Inventory consists primarily of specialty food products. At March 31, 2020 and December 31, 2019, inventory consisted of the following:</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March 31,</w:t>
            </w:r>
          </w:p>
        </w:tc>
        <w:tc>
          <w:tcPr>
            <w:tcW w:w="16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 Inventory</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2,941,435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2,350,622</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 of Building</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owns a building and property located at 28411 Race Track Road, Bonita Springs, Florida 34135. The property consists of approximately 1.1 acres of land and approximately 10,000 square feet of combined office and warehouse space, and was purchased as part of a bank short sale. The Company moved its operations to these premises on July 15, 2013. The purchase price of the property was $792,758.</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May 14, 2015, the Company purchased a building and property located at 2528 S. 27th Avenue, Broadview, Illinois 60155. The property consists of approximately 1.33 acres of land and approximately 28,711 square feet of combined office and warehouse space. The purchase price of $914,350 was initially financed primarily by a draw-down of $900,000 on the Company’s credit facility with Fifth Third Bank, National Association (“Fifth Third Bank”). On May 29, 2015, a permanent financing facility was provided by Fifth Third Bank in the form of a loan in the amount of $980,000. $900,000 of this amount was used to pay the balance of the credit facility; the additional $80,000 was used for refrigeration and other improvements at the property. The interest on the loan is at the LIBOR rate plus 3.0%. The building is used for office and warehouse space primarily for the Company’s Artisan subsidiary. We have also recently completed an additional property improvement and upgrade buildout at the Artisan building which include a fully functional commercial test kitchen and training center and conference room. The test kitchen and training room will be used by Artisan and other subsidiaries of the Company for the purposes of new product testing and development and approval, Quality Assurance and Quality Control as well as sales presentations and customer demonstrations. In addition, we recently added a packaging room to the Artisan building, which is built to FDA, FSMA and SQF food safety standards and purchased new, technologically advanced semi-automated fillers for the packaging room. The packaging room addition will allow for expansion of private label product lines as well as packing of organic, non GMO, diet specific and other specialty foods. The test kitchen, packaging room and additional improvements were financed by a loan from Fifth Third Bank.</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on the building and the related improvements, furniture, fixtures, and equipment began when the Company occupied the facility in October, 2015.</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November 8, 2019 the Company, through a newly formed wholly-owned subsidiary, purchased a logistics and warehouse facility (the “Facility”) for $4.5 million. The Facility is approximately 200,000 square feet and is situated on approximately 15 acres in Mountain Top, Pennsylvania. The Facility’s appraised value by a third party appraisal firm in October 2019 was $6,150,000 “as is” and $8,000,000 with additional scheduled improvements. Related to the Facility purchase, the Company entered into a commercial loan agreement for both the purchase price and planned improvements to the Facility. The amount of the loan was $5,500,000, of which $3,600,000 had been utilized at December 31, 2019 in connection with the purchase of the Facility; the lender was Fifth Third Bank and the loan is secured by a mortgage on the property and other Company assets. The interest on the loan is LIBOR plus 2.75%, with interest only payments due through September 30, 2020, thereafter with principal amortized over 20 years with the balance due at maturity on September 2, 2025. Related to Facility purchase, the Company also acquired certain leases from certain tenants of the Facility, all of which were in good standing at the time of purchase. Depreciation on the building began when the Company commenced recognizing revenue from leasing and logistics services associated with the Facility.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property and equipment at March 31, 2020 and December 31, 2019:</w:t>
      </w:r>
    </w:p>
    <w:p>
      <w:pPr>
        <w:spacing w:after="0" w:line="207"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1,256,895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1,265,895</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Building</w:t>
            </w:r>
          </w:p>
        </w:tc>
        <w:tc>
          <w:tcPr>
            <w:tcW w:w="2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4,959,993</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4,959,993</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and Office Equipment</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578,362</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549,703</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Warehouse Equipment</w:t>
            </w:r>
          </w:p>
        </w:tc>
        <w:tc>
          <w:tcPr>
            <w:tcW w:w="2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345,973</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345,973</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1,151,568</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894,628</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Vehicles</w:t>
            </w:r>
          </w:p>
        </w:tc>
        <w:tc>
          <w:tcPr>
            <w:tcW w:w="2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117,785</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117,785</w:t>
            </w:r>
          </w:p>
        </w:tc>
      </w:tr>
      <w:tr>
        <w:trPr>
          <w:trHeight w:val="20"/>
        </w:trPr>
        <w:tc>
          <w:tcPr>
            <w:tcW w:w="5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before accumulated depreciation</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8,410,576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8,124,977</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(1,580,151)</w:t>
            </w:r>
          </w:p>
        </w:tc>
        <w:tc>
          <w:tcPr>
            <w:tcW w:w="1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(1,479,588)</w:t>
            </w:r>
          </w:p>
        </w:tc>
      </w:tr>
      <w:tr>
        <w:trPr>
          <w:trHeight w:val="20"/>
        </w:trPr>
        <w:tc>
          <w:tcPr>
            <w:tcW w:w="5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6,830,425</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6,645,389</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expense for property and equipment amounted to $114,533 and $76,075 for the three months ended March 31, 2020 and 2019,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RIGHT OF USE ASSETS AND LEASE LIABILITIES – OPERATING LEASES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operating leases for offices, warehouses, vehicles, and office equipment. The Company’s leases have remaining lease terms of 1 year to 3 years, some of which include options to extend.</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lease expense for the three months ended March 31, 2020 and 2019 was entirely comprised of operating leases and amounted to $53,628 and $46,871, respectively. The Company’s ROU asset amortization for the three months ended March 31, 2019 was $49,949 and $42,619, respectively. The difference between the lease expense and the associated ROU asset amortization consists of interest.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6800" w:type="dxa"/>
            <w:vAlign w:val="bottom"/>
            <w:gridSpan w:val="2"/>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800" w:type="dxa"/>
            <w:vAlign w:val="bottom"/>
            <w:gridSpan w:val="2"/>
          </w:tcPr>
          <w:p>
            <w:pPr>
              <w:spacing w:after="0"/>
              <w:rPr>
                <w:sz w:val="20"/>
                <w:szCs w:val="20"/>
                <w:color w:val="auto"/>
              </w:rPr>
            </w:pPr>
            <w:r>
              <w:rPr>
                <w:rFonts w:ascii="Arial" w:cs="Arial" w:eastAsia="Arial" w:hAnsi="Arial"/>
                <w:sz w:val="18"/>
                <w:szCs w:val="18"/>
                <w:color w:val="auto"/>
              </w:rPr>
              <w:t>Right to use assets – operating leases are summarized below:</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March 31,</w:t>
            </w:r>
          </w:p>
        </w:tc>
        <w:tc>
          <w:tcPr>
            <w:tcW w:w="16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212,138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Warehouse</w:t>
            </w:r>
          </w:p>
        </w:tc>
        <w:tc>
          <w:tcPr>
            <w:tcW w:w="2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23,686</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46,977</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Warehouse equipment</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18,546</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20,446</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Office equipment</w:t>
            </w:r>
          </w:p>
        </w:tc>
        <w:tc>
          <w:tcPr>
            <w:tcW w:w="2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20,558</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28,039</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Vehicles</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83,786</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98,271</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56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Right to use assets,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358,714</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193,733</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color w:val="auto"/>
              </w:rPr>
              <w:t>Operating lease liabilities are summarized below:</w:t>
            </w: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March 31,</w:t>
            </w:r>
          </w:p>
        </w:tc>
        <w:tc>
          <w:tcPr>
            <w:tcW w:w="16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212,138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Warehouse</w:t>
            </w:r>
          </w:p>
        </w:tc>
        <w:tc>
          <w:tcPr>
            <w:tcW w:w="2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23,686</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46,977</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Warehouse equipment</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18,546</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20,446</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Office equipment</w:t>
            </w:r>
          </w:p>
        </w:tc>
        <w:tc>
          <w:tcPr>
            <w:tcW w:w="2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20,558</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28,039</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Vehicles</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83,786</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98,271</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56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Lease liability</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358,714</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193,733</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(134,459)</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(133,296)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Lease liability, non-current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224,255</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60,437</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color w:val="auto"/>
              </w:rPr>
              <w:t>Maturity analysis under these lease agreements are as follows: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period ended March 31, 2021</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For the period ended March 31, 2022</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92,814</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period ended March 31, 2023</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56,248</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For the period ended March 31, 2024</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52,583</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period ended March 31, 2025</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49,523</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56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403,474</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Present value discount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(44,760)</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56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Lease liability</w:t>
            </w:r>
          </w:p>
        </w:tc>
        <w:tc>
          <w:tcPr>
            <w:tcW w:w="2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358,714</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INVESTMENTS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has made investments in certain early stage food related companies which it expects can benefit from synergies with the Company’s various operating businesses. At March 31, 2020 and December 31, 2019, the Company has investments in eight food related companies in the aggregate amount of $450,225 and $435,225, respectively. The Company does not have significant influence over the operations of these companies.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investments may take the form of debt, equity, or equity in the future including convertible notes and other instruments which provide for future equity under various scenarios including subsequent financings or initial public offerings. The Company has evaluated the guidance in Accounting Standards Codification (“ASC”) No. 325-20 Investments – Other, in determining to account for the investment using the cost method since the equity securities are not marketable and do not give the Company significant influence.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 months ended March 31, 2020 and 2019, the Company converted accounts receivable in the amount of $15,000 and $15,500, respectively, into an equity investment in a food related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INTANGIBLE ASSETS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trade names are not considered finite-lived assets, and are not being amortized. The non-compete agreement is being amortized over a period of 48 months. The customer relationships acquired in these transactions are being amortized over periods of 24 to 36 months. The internally developed technology is being amortized over 60 months.</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detailed in ASC 350, the Company tests for goodwill impairment in the fourth quarter of each year and whenever events or changes in circumstances indicate that the carrying amount of the asset exceeds its fair value and may not be recoverable. As detailed in ASC 350-20-35-3A, in performing its testing for goodwill impairment, management has completed a qualitative analysis to determine whether it was more likely than not that the fair value of the Company’s reporting unit is less than its carrying amount, including goodwill. To complete this review, management followed the steps in ASC 350-20-35-3C to evaluate the fair value of goodwill and considered all known events and circumstances that might trigger an impairment of goodwill.</w:t>
      </w:r>
    </w:p>
    <w:p>
      <w:pPr>
        <w:spacing w:after="0" w:line="16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COVID-19 has had a material negative impact on some of the Company’s foodservice customers. In an effort to limit the spread of the virus, federal, state and local governments have implemented measures that have resulted in the closure of non-essential businesses in many of the markets the Company serves, which has forced its customers in those markets to either transition their establishments to take-out service, delivery service or temporarily cease operations. These actions have led to a significant decrease in demand for certain of the Company’s foodservice products. The adverse impact to the Company’s foodservice customer base was a triggering event and accordingly, as required by ASC 350, the Company performed interim goodwill and long-lived asset quantitative impairment tests as of March 31, 2020. While the triggering event was a result of the negative impact related to foodservice customers, the applicable accounting rules then required an impairment test targeted specifically to any available carrying value of goodwill or intangible assets. As of March 31, 2020 the Company performed the impairment tests on certain intangible assets and goodwill pursuant to the acquisitions through Artisan, Oasis, Innovative Gourmet (see note 3) and M Innovations (see note 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Impairment Test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estimated the fair value of the Company’s reporting unit using an income approach that incorporates the use of a discounted cash flow model that involves many management assumptions that are based upon future growth projections which include estimates of COVID-19’s impact on our business. Assumptions include estimates of future revenues, growth rates which take into account estimated inflation rates, estimates of future levels of gross profit and operating profit, projected capital expenditures and discount rates based upon industry and competitor analyses. As a result of impairment test, it was calculated that the net carrying value of goodwill exceeded the fair value by $650,243, and the Company was required by ASC 350 to record an impairment charge to operations during the three months ended March 31, 2020. At March 31, 2020, the net carrying value of goodwill on the Company’s balance sheet is $0.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Impairment Test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Long-lived assets, including other intangible assets, were tested for recoverability at the asset group level. The Company estimated the net undiscounted cash flows expected to be generated from the asset group over the expected useful life of the asset group’s primary asset. Key assumptions include future revenues, growth rates, estimates of future levels of gross profit and operating profit and projected capital expenditures necessary to maintain the operating capacity of each asset group. As a result of the impairment test, it was calculated that the net carrying values of other intangible assets exceeded the undiscounted cash flows for each of the Company’s asset groups by a total of $1,048,692, and the Company was required by the applicable accounting rules to record an impairment charge to operations during the three months ended March 31, 2020. At March 31, 2020, the net carrying value of other intangible assets on the Company’s balance sheet is $1,532,822.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acquired certain intangible assets pursuant to the acquisitions through Artisan, Oasis (see note 3), Innovative Gourmet (see note 3), OFB, Haley, and M Innovations (see note 3). The following is the net book value of these assets:</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93"/>
              </w:rPr>
              <w:t>March 31, 2020</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3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w w:val="99"/>
              </w:rPr>
              <w:t>Accumulated</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39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Gross</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Amortization</w:t>
            </w: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Net</w:t>
            </w:r>
          </w:p>
        </w:tc>
        <w:tc>
          <w:tcPr>
            <w:tcW w:w="80" w:type="dxa"/>
            <w:vAlign w:val="bottom"/>
          </w:tcPr>
          <w:p>
            <w:pPr>
              <w:spacing w:after="0"/>
              <w:rPr>
                <w:sz w:val="20"/>
                <w:szCs w:val="20"/>
                <w:color w:val="auto"/>
              </w:rPr>
            </w:pPr>
          </w:p>
        </w:tc>
      </w:tr>
      <w:tr>
        <w:trPr>
          <w:trHeight w:val="21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Non-Compete Agreement - amortizable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505,900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(505,900)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Customer Relationships - amortizable</w:t>
            </w:r>
          </w:p>
        </w:tc>
        <w:tc>
          <w:tcPr>
            <w:tcW w:w="3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3,068,034</w:t>
            </w:r>
          </w:p>
        </w:tc>
        <w:tc>
          <w:tcPr>
            <w:tcW w:w="1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(3,068,034)</w:t>
            </w:r>
          </w:p>
        </w:tc>
        <w:tc>
          <w:tcPr>
            <w:tcW w:w="3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w:t>
            </w: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1,532,822</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1,532,822</w:t>
            </w: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Internally Developed Technology - amortizable</w:t>
            </w:r>
          </w:p>
        </w:tc>
        <w:tc>
          <w:tcPr>
            <w:tcW w:w="3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875,643</w:t>
            </w:r>
          </w:p>
        </w:tc>
        <w:tc>
          <w:tcPr>
            <w:tcW w:w="1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(875,643)</w:t>
            </w:r>
          </w:p>
        </w:tc>
        <w:tc>
          <w:tcPr>
            <w:tcW w:w="3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650,243</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(650,243)</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Website - amortizable</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84,000</w:t>
            </w:r>
          </w:p>
        </w:tc>
      </w:tr>
      <w:tr>
        <w:trPr>
          <w:trHeight w:val="20"/>
        </w:trPr>
        <w:tc>
          <w:tcPr>
            <w:tcW w:w="39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6,716,642</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(5,099,820)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1,616,822</w:t>
            </w: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December 31, 2019</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3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w w:val="95"/>
              </w:rPr>
              <w:t>Accumulated</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39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Gross</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Amortization</w:t>
            </w: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Net</w:t>
            </w:r>
          </w:p>
        </w:tc>
        <w:tc>
          <w:tcPr>
            <w:tcW w:w="80" w:type="dxa"/>
            <w:vAlign w:val="bottom"/>
          </w:tcPr>
          <w:p>
            <w:pPr>
              <w:spacing w:after="0"/>
              <w:rPr>
                <w:sz w:val="20"/>
                <w:szCs w:val="20"/>
                <w:color w:val="auto"/>
              </w:rPr>
            </w:pPr>
          </w:p>
        </w:tc>
      </w:tr>
      <w:tr>
        <w:trPr>
          <w:trHeight w:val="21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Non-Compete Agreement - amortizable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505,900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(433,545)</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72,355</w:t>
            </w: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Customer Relationships - amortizable</w:t>
            </w:r>
          </w:p>
        </w:tc>
        <w:tc>
          <w:tcPr>
            <w:tcW w:w="3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3,068,034</w:t>
            </w: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(2,427,612)</w:t>
            </w:r>
          </w:p>
        </w:tc>
        <w:tc>
          <w:tcPr>
            <w:tcW w:w="3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640,422</w:t>
            </w: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w:t>
            </w: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1,532,822</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1,532,822</w:t>
            </w: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Internally Developed Technology - amortizable</w:t>
            </w:r>
          </w:p>
        </w:tc>
        <w:tc>
          <w:tcPr>
            <w:tcW w:w="3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875,643</w:t>
            </w: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(329,679)</w:t>
            </w:r>
          </w:p>
        </w:tc>
        <w:tc>
          <w:tcPr>
            <w:tcW w:w="3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545,964</w:t>
            </w: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650,243</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650,243</w:t>
            </w: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Website - amortizable</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84,000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84,000</w:t>
            </w:r>
          </w:p>
        </w:tc>
      </w:tr>
      <w:tr>
        <w:trPr>
          <w:trHeight w:val="20"/>
        </w:trPr>
        <w:tc>
          <w:tcPr>
            <w:tcW w:w="39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6,716,642</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(3,190,836)</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3,525,806</w:t>
            </w: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Total amortization expense for the three months ended March 31, 2020 and 2019 was $210,032 and $229,130, respectively. Total impairment charge for the three months ended March 31, 2020 and 2019 was $1,698,952 and $0,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ACCOUNTS PAYABLE AND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liabilities at March 31, 2020 and December 31, 2019 are as follows: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payables and accrued liabilities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3,760,008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3,935,384</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Accrued payroll and commissions</w:t>
            </w:r>
          </w:p>
        </w:tc>
        <w:tc>
          <w:tcPr>
            <w:tcW w:w="2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68,990</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74,572</w:t>
            </w:r>
          </w:p>
        </w:tc>
      </w:tr>
      <w:tr>
        <w:trPr>
          <w:trHeight w:val="20"/>
        </w:trPr>
        <w:tc>
          <w:tcPr>
            <w:tcW w:w="5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3,828,998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4,009,956</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ACCRUED INTEREST</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March 31, 2020, accrued interest on notes outstanding was $20,552. During the three months ended March 31, 2020, the Company paid cash for interest in the aggregate amount of $59,373.</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December 31, 2019, accrued interest on a note outstanding was $16,973. During the twelve months ended December 31, 2019, the Company paid cash for interest in the aggregate amount of $112,971.</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b w:val="1"/>
                <w:bCs w:val="1"/>
                <w:color w:val="auto"/>
              </w:rPr>
              <w:t>12. REVOLVING CREDIT FACILITIES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Line of credit facility with Fifth Third Bank in the original amount of $1,000,000 with an interest rate of</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5"/>
              </w:rPr>
              <w:t>LIBOR plus 3.25% (the “Fifth Third Bank Line of Credit”). In August 2015, the amount of the credit facility</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3"/>
              </w:rPr>
              <w:t>was increased to $1,500,000 and the due date was extended to August 1, 2016. In August 2016, this credit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4"/>
              </w:rPr>
              <w:t>facility was extended to August 1, 2017. On August 1, 2017 this credit facility was increased to $2,000,000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1"/>
              </w:rPr>
              <w:t>and the due date was extended to August 1, 2018. In August 2018, this credit facility was extended to August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5"/>
              </w:rPr>
              <w:t>1, 2019. Effective August 1, 2019, this credit facility was extended to August 1, 2021. On March 20, 2020,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5"/>
              </w:rPr>
              <w:t>the Company drew down the amount of $2,000,000. During the three months ended March 31, 2020, the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Company paid interest expense in the amount of $3,486 on the Fifth Third Bank Line of Credit.</w:t>
            </w:r>
          </w:p>
        </w:tc>
        <w:tc>
          <w:tcPr>
            <w:tcW w:w="2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3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2,000,000</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1360" w:type="dxa"/>
            <w:vAlign w:val="bottom"/>
            <w:gridSpan w:val="2"/>
            <w:vMerge w:val="continue"/>
            <w:shd w:val="clear" w:color="auto" w:fill="CCEEFF"/>
          </w:tcPr>
          <w:p>
            <w:pPr>
              <w:spacing w:after="0"/>
              <w:rPr>
                <w:sz w:val="17"/>
                <w:szCs w:val="17"/>
                <w:color w:val="auto"/>
              </w:rPr>
            </w:pPr>
          </w:p>
        </w:tc>
        <w:tc>
          <w:tcPr>
            <w:tcW w:w="260" w:type="dxa"/>
            <w:vAlign w:val="bottom"/>
            <w:gridSpan w:val="2"/>
            <w:vMerge w:val="continue"/>
            <w:shd w:val="clear" w:color="auto" w:fill="CCEEFF"/>
          </w:tcPr>
          <w:p>
            <w:pPr>
              <w:spacing w:after="0"/>
              <w:rPr>
                <w:sz w:val="17"/>
                <w:szCs w:val="17"/>
                <w:color w:val="auto"/>
              </w:rPr>
            </w:pPr>
          </w:p>
        </w:tc>
        <w:tc>
          <w:tcPr>
            <w:tcW w:w="140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3"/>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13. NOTES PAYABLE</w:t>
            </w: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Secured mortgage note payable for the acquisition of land and building in Bonita Springs, Florida in the</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2"/>
              </w:rPr>
              <w:t>amount of $546,000. Principal payments of $4,550 plus interest at the rate of Libor plus 3% are due monthly.</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3"/>
              </w:rPr>
              <w:t>The balance of the principal amount was originally due February 28, 2018. On March 23, 2018 and effective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2"/>
              </w:rPr>
              <w:t>February 26, 2018, this note was amended and renewed in the amount of $273,000, with monthly payments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3"/>
              </w:rPr>
              <w:t>of principal and interest of $4,550 payable through the maturity date of February 28, 2023. During the three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5"/>
              </w:rPr>
              <w:t>months ended March 31, 2020, the Company made payments of principal and interest on this note in the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amounts of $13,650 and $2,050, respectively.</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163,800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177,450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Secured mortgage note payable for the acquisition of land and building in Broadview, Illinois in the amount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5"/>
              </w:rPr>
              <w:t>of $980,000. Principal payments of $8,167 plus interest at the rate of LIBOR plus 2.75% are due monthly</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5"/>
              </w:rPr>
              <w:t>through April 2020, the remaining principal balance in the amount of $490,000 was originally due May 29,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4"/>
              </w:rPr>
              <w:t>2020. Effective May 29, 2020, the note was amended and renewed such that principal payments of $8,303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plus accrued interest will be due beginning June 29, 2020 and continuing for sixty months; the entire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8"/>
              </w:rPr>
              <w:t>principal balance and all accrued interest will be due on May 29, 2025. During the three months ended</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8"/>
              </w:rPr>
              <w:t>March 31, 2020, the Company made payments of principal and interest on this note in the amounts of</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$24,500 and $6,454, respectively.</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506,333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530,833</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Promissory note dated March 22, 2019 in the original amount of $391,558 (the “Artisan Equipment Loan”)</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payable to Fifth Third Bank. This loan is secured by the Company’s tangible and intangible personal</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3"/>
              </w:rPr>
              <w:t>property and bears interest at the rate of 5.20%. The entire principal balance and all accrued interest is due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4"/>
              </w:rPr>
              <w:t>on the maturity date of March 21, 2024. Monthly payments in the amount of $7,425 including principal and</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4"/>
              </w:rPr>
              <w:t>interest commenced in April, 2019. During the year ended December 31, 2019, equipment financed under</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8"/>
              </w:rPr>
              <w:t>the Artisan Equipment Loan in the amount of $33,075 was returned for credit. During the three months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2"/>
              </w:rPr>
              <w:t>ended March 31, 2020, the Company made payments of principal and interest on this note in the amounts of</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$16,429 and $3,965, respectively.</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293,400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309,829</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 note payable in the amount of $20,000. The Note was due in January 2006 and the Company is currently</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1"/>
              </w:rPr>
              <w:t>accruing interest on this note at 1.9%. During the three months ended March 31, 2020, the Company accrued</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interest in the amount of $93 on this note.</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432"/>
        </w:trPr>
        <w:tc>
          <w:tcPr>
            <w:tcW w:w="8000" w:type="dxa"/>
            <w:vAlign w:val="bottom"/>
          </w:tcPr>
          <w:p>
            <w:pPr>
              <w:ind w:left="554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8020" w:type="dxa"/>
        <w:tblCellMar>
          <w:top w:w="0" w:type="dxa"/>
          <w:left w:w="0" w:type="dxa"/>
          <w:bottom w:w="0" w:type="dxa"/>
          <w:right w:w="0" w:type="dxa"/>
        </w:tblCellMar>
      </w:tblPr>
      <w:tr>
        <w:trPr>
          <w:trHeight w:val="216"/>
        </w:trPr>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2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r>
    </w:tbl>
    <w:p>
      <w:pPr>
        <w:spacing w:after="0" w:line="200" w:lineRule="exact"/>
        <w:rPr>
          <w:sz w:val="20"/>
          <w:szCs w:val="20"/>
          <w:color w:val="auto"/>
        </w:rPr>
      </w:pPr>
    </w:p>
    <w:p>
      <w:pPr>
        <w:sectPr>
          <w:pgSz w:w="11900" w:h="16838" w:orient="portrait"/>
          <w:cols w:equalWidth="0" w:num="1">
            <w:col w:w="11200"/>
          </w:cols>
          <w:pgMar w:left="320" w:top="125" w:right="379" w:bottom="1440" w:gutter="0" w:footer="0" w:header="0"/>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20"/>
                <w:szCs w:val="20"/>
                <w:color w:val="auto"/>
              </w:rPr>
            </w:pPr>
            <w:r>
              <w:rPr>
                <w:rFonts w:ascii="Arial" w:cs="Arial" w:eastAsia="Arial" w:hAnsi="Arial"/>
                <w:sz w:val="18"/>
                <w:szCs w:val="18"/>
                <w:color w:val="auto"/>
                <w:w w:val="92"/>
              </w:rPr>
              <w:t>Vehicle acquisition loan dated December 6, 2018 in the original amount of $51,088, payable in sixty monthly</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w w:val="93"/>
              </w:rPr>
              <w:t>installments of $955 including interest at the rate of 4.61%. During the three months ended March 31, 2020,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w w:val="93"/>
              </w:rPr>
              <w:t>the Company made principal and interest payments in the amount of $3,196 and $571, respectively, on this</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loan.</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7980" w:type="dxa"/>
            <w:vAlign w:val="bottom"/>
          </w:tcPr>
          <w:p>
            <w:pPr>
              <w:spacing w:after="0"/>
              <w:rPr>
                <w:sz w:val="20"/>
                <w:szCs w:val="20"/>
                <w:color w:val="auto"/>
              </w:rPr>
            </w:pPr>
            <w:r>
              <w:rPr>
                <w:rFonts w:ascii="Arial" w:cs="Arial" w:eastAsia="Arial" w:hAnsi="Arial"/>
                <w:sz w:val="18"/>
                <w:szCs w:val="18"/>
                <w:color w:val="auto"/>
                <w:w w:val="94"/>
              </w:rPr>
              <w:t>Secured mortgage facility in the amount of $5,500,000 with Fifth Third Bank for the acquisition of land and</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w w:val="94"/>
              </w:rPr>
              <w:t>building in Wright, Pennsylvania dated November 8, 2019. During the year ended December 31, 2019, the</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Company drew down $3,600,000 of this facility. During the three months ended March 31, 2020, the</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w w:val="97"/>
              </w:rPr>
              <w:t>Company drew down an additional $150,786 of this facility. The interest rate is LIBOR plus 2.75% with</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w w:val="92"/>
              </w:rPr>
              <w:t>interest only due through September 30, 2020, thereafter with principal amortized at a 20 years amortization</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w w:val="96"/>
              </w:rPr>
              <w:t>rate and the balance due on the maturity date of September 2, 2025. The Company prepaid loan fees in</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w w:val="91"/>
              </w:rPr>
              <w:t>connection with this loan in the amount of $71,097 which are considered a discount to the loan and are being</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w w:val="95"/>
              </w:rPr>
              <w:t>amortized over the term of the note; $3,123 of this discount was amortized to interest expense during the</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w w:val="94"/>
              </w:rPr>
              <w:t>three months ended March 31, 2020. During the three months ended March 31, 2020 the Company made</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principal and interest payments in the amount of $0 and $27,455, respectively, on this loan.</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798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Discount</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980" w:type="dxa"/>
            <w:vAlign w:val="bottom"/>
          </w:tcPr>
          <w:p>
            <w:pPr>
              <w:spacing w:after="0"/>
              <w:rPr>
                <w:sz w:val="20"/>
                <w:szCs w:val="20"/>
                <w:color w:val="auto"/>
              </w:rPr>
            </w:pPr>
            <w:r>
              <w:rPr>
                <w:rFonts w:ascii="Arial" w:cs="Arial" w:eastAsia="Arial" w:hAnsi="Arial"/>
                <w:sz w:val="18"/>
                <w:szCs w:val="18"/>
                <w:color w:val="auto"/>
              </w:rPr>
              <w:t>Net of discount</w:t>
            </w:r>
          </w:p>
        </w:tc>
        <w:tc>
          <w:tcPr>
            <w:tcW w:w="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7980" w:type="dxa"/>
            <w:vAlign w:val="bottom"/>
          </w:tcPr>
          <w:p>
            <w:pPr>
              <w:spacing w:after="0"/>
              <w:rPr>
                <w:sz w:val="20"/>
                <w:szCs w:val="20"/>
                <w:color w:val="auto"/>
              </w:rPr>
            </w:pPr>
            <w:r>
              <w:rPr>
                <w:rFonts w:ascii="Arial" w:cs="Arial" w:eastAsia="Arial" w:hAnsi="Arial"/>
                <w:sz w:val="18"/>
                <w:szCs w:val="18"/>
                <w:color w:val="auto"/>
              </w:rPr>
              <w:t>Current portion</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Long-term maturities</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98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7980" w:type="dxa"/>
            <w:vAlign w:val="bottom"/>
          </w:tcPr>
          <w:p>
            <w:pPr>
              <w:spacing w:after="0"/>
              <w:rPr>
                <w:sz w:val="20"/>
                <w:szCs w:val="20"/>
                <w:color w:val="auto"/>
              </w:rPr>
            </w:pPr>
            <w:r>
              <w:rPr>
                <w:rFonts w:ascii="Arial" w:cs="Arial" w:eastAsia="Arial" w:hAnsi="Arial"/>
                <w:sz w:val="18"/>
                <w:szCs w:val="18"/>
                <w:color w:val="auto"/>
              </w:rPr>
              <w:t>Aggregate maturities of long-term notes payable as of March 31, 2020 are as follows:</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80" w:type="dxa"/>
            <w:vAlign w:val="bottom"/>
          </w:tcPr>
          <w:p>
            <w:pPr>
              <w:spacing w:after="0"/>
              <w:rPr>
                <w:sz w:val="20"/>
                <w:szCs w:val="20"/>
                <w:color w:val="auto"/>
              </w:rPr>
            </w:pPr>
            <w:r>
              <w:rPr>
                <w:rFonts w:ascii="Arial" w:cs="Arial" w:eastAsia="Arial" w:hAnsi="Arial"/>
                <w:sz w:val="18"/>
                <w:szCs w:val="18"/>
                <w:color w:val="auto"/>
              </w:rPr>
              <w:t>For the period ended March 31,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980" w:type="dxa"/>
            <w:vAlign w:val="bottom"/>
          </w:tcPr>
          <w:p>
            <w:pPr>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2025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98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7980" w:type="dxa"/>
            <w:vAlign w:val="bottom"/>
          </w:tcPr>
          <w:p>
            <w:pPr>
              <w:ind w:left="554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-5177155</wp:posOffset>
            </wp:positionV>
            <wp:extent cx="7132320" cy="32232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2232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-1130935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tabs>
          <w:tab w:leader="none" w:pos="900" w:val="left"/>
          <w:tab w:leader="none" w:pos="1860" w:val="left"/>
        </w:tabs>
        <w:rPr>
          <w:sz w:val="20"/>
          <w:szCs w:val="20"/>
          <w:color w:val="auto"/>
        </w:rPr>
      </w:pPr>
      <w:r>
        <w:rPr>
          <w:rFonts w:ascii="Arial" w:cs="Arial" w:eastAsia="Arial" w:hAnsi="Arial"/>
          <w:sz w:val="18"/>
          <w:szCs w:val="18"/>
          <w:color w:val="auto"/>
        </w:rPr>
        <w:t>38,592</w:t>
        <w:tab/>
        <w:t>$</w:t>
      </w:r>
      <w:r>
        <w:rPr>
          <w:sz w:val="20"/>
          <w:szCs w:val="20"/>
          <w:color w:val="auto"/>
        </w:rPr>
        <w:tab/>
      </w:r>
      <w:r>
        <w:rPr>
          <w:rFonts w:ascii="Arial" w:cs="Arial" w:eastAsia="Arial" w:hAnsi="Arial"/>
          <w:sz w:val="16"/>
          <w:szCs w:val="16"/>
          <w:color w:val="auto"/>
        </w:rPr>
        <w:t>41,788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87"/>
              </w:rPr>
              <w:t>3,750,786</w:t>
            </w:r>
          </w:p>
        </w:tc>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3,600,000</w:t>
            </w:r>
          </w:p>
        </w:tc>
        <w:tc>
          <w:tcPr>
            <w:tcW w:w="60" w:type="dxa"/>
            <w:vAlign w:val="bottom"/>
          </w:tcPr>
          <w:p>
            <w:pPr>
              <w:spacing w:after="0"/>
              <w:rPr>
                <w:sz w:val="20"/>
                <w:szCs w:val="20"/>
                <w:color w:val="auto"/>
              </w:rPr>
            </w:pPr>
          </w:p>
        </w:tc>
      </w:tr>
      <w:tr>
        <w:trPr>
          <w:trHeight w:val="411"/>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87"/>
              </w:rPr>
              <w:t>4,772,911</w:t>
            </w:r>
          </w:p>
        </w:tc>
        <w:tc>
          <w:tcPr>
            <w:tcW w:w="420" w:type="dxa"/>
            <w:vAlign w:val="bottom"/>
            <w:gridSpan w:val="2"/>
          </w:tcPr>
          <w:p>
            <w:pPr>
              <w:jc w:val="right"/>
              <w:ind w:right="247"/>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4,679,900</w:t>
            </w:r>
          </w:p>
        </w:tc>
        <w:tc>
          <w:tcPr>
            <w:tcW w:w="60" w:type="dxa"/>
            <w:vAlign w:val="bottom"/>
          </w:tcPr>
          <w:p>
            <w:pPr>
              <w:spacing w:after="0"/>
              <w:rPr>
                <w:sz w:val="24"/>
                <w:szCs w:val="24"/>
                <w:color w:val="auto"/>
              </w:rPr>
            </w:pPr>
          </w:p>
        </w:tc>
      </w:tr>
      <w:tr>
        <w:trPr>
          <w:trHeight w:val="230"/>
        </w:trPr>
        <w:tc>
          <w:tcPr>
            <w:tcW w:w="920" w:type="dxa"/>
            <w:vAlign w:val="bottom"/>
          </w:tcPr>
          <w:p>
            <w:pPr>
              <w:jc w:val="right"/>
              <w:ind w:right="50"/>
              <w:spacing w:after="0"/>
              <w:rPr>
                <w:sz w:val="20"/>
                <w:szCs w:val="20"/>
                <w:color w:val="auto"/>
              </w:rPr>
            </w:pPr>
            <w:r>
              <w:rPr>
                <w:rFonts w:ascii="Arial" w:cs="Arial" w:eastAsia="Arial" w:hAnsi="Arial"/>
                <w:sz w:val="18"/>
                <w:szCs w:val="18"/>
                <w:color w:val="auto"/>
              </w:rPr>
              <w:t>(67,974)</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(71,097)</w:t>
            </w:r>
          </w:p>
        </w:tc>
      </w:tr>
      <w:tr>
        <w:trPr>
          <w:trHeight w:val="209"/>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87"/>
              </w:rPr>
              <w:t>4,704,937</w:t>
            </w:r>
          </w:p>
        </w:tc>
        <w:tc>
          <w:tcPr>
            <w:tcW w:w="2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4,608,803</w:t>
            </w:r>
          </w:p>
        </w:tc>
        <w:tc>
          <w:tcPr>
            <w:tcW w:w="6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8"/>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751,505</w:t>
            </w:r>
          </w:p>
        </w:tc>
        <w:tc>
          <w:tcPr>
            <w:tcW w:w="420" w:type="dxa"/>
            <w:vAlign w:val="bottom"/>
            <w:gridSpan w:val="2"/>
          </w:tcPr>
          <w:p>
            <w:pPr>
              <w:jc w:val="right"/>
              <w:ind w:right="247"/>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727,766</w:t>
            </w:r>
          </w:p>
        </w:tc>
        <w:tc>
          <w:tcPr>
            <w:tcW w:w="60" w:type="dxa"/>
            <w:vAlign w:val="bottom"/>
          </w:tcPr>
          <w:p>
            <w:pPr>
              <w:spacing w:after="0"/>
              <w:rPr>
                <w:sz w:val="24"/>
                <w:szCs w:val="24"/>
                <w:color w:val="auto"/>
              </w:rPr>
            </w:pPr>
          </w:p>
        </w:tc>
      </w:tr>
      <w:tr>
        <w:trPr>
          <w:trHeight w:val="230"/>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87"/>
              </w:rPr>
              <w:t>4,021,406</w:t>
            </w:r>
          </w:p>
        </w:tc>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3,952,134</w:t>
            </w:r>
          </w:p>
        </w:tc>
        <w:tc>
          <w:tcPr>
            <w:tcW w:w="60" w:type="dxa"/>
            <w:vAlign w:val="bottom"/>
          </w:tcPr>
          <w:p>
            <w:pPr>
              <w:spacing w:after="0"/>
              <w:rPr>
                <w:sz w:val="20"/>
                <w:szCs w:val="20"/>
                <w:color w:val="auto"/>
              </w:rPr>
            </w:pPr>
          </w:p>
        </w:tc>
      </w:tr>
      <w:tr>
        <w:trPr>
          <w:trHeight w:val="209"/>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87"/>
              </w:rPr>
              <w:t>4,772,911</w:t>
            </w: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4,679,900</w:t>
            </w:r>
          </w:p>
        </w:tc>
        <w:tc>
          <w:tcPr>
            <w:tcW w:w="6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wp:posOffset>
            </wp:positionH>
            <wp:positionV relativeFrom="paragraph">
              <wp:posOffset>-753745</wp:posOffset>
            </wp:positionV>
            <wp:extent cx="9175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17575" cy="8255"/>
                    </a:xfrm>
                    <a:prstGeom prst="rect">
                      <a:avLst/>
                    </a:prstGeom>
                    <a:noFill/>
                  </pic:spPr>
                </pic:pic>
              </a:graphicData>
            </a:graphic>
          </wp:anchor>
        </w:drawing>
        <w:drawing>
          <wp:anchor simplePos="0" relativeHeight="251657728" behindDoc="1" locked="0" layoutInCell="0" allowOverlap="1">
            <wp:simplePos x="0" y="0"/>
            <wp:positionH relativeFrom="column">
              <wp:posOffset>-464820</wp:posOffset>
            </wp:positionH>
            <wp:positionV relativeFrom="paragraph">
              <wp:posOffset>-170815</wp:posOffset>
            </wp:positionV>
            <wp:extent cx="9175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780" w:hanging="853"/>
        <w:spacing w:after="0"/>
        <w:tabs>
          <w:tab w:leader="none" w:pos="1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751,505</w:t>
      </w:r>
    </w:p>
    <w:p>
      <w:pPr>
        <w:spacing w:after="0" w:line="23" w:lineRule="exact"/>
        <w:rPr>
          <w:rFonts w:ascii="Arial" w:cs="Arial" w:eastAsia="Arial" w:hAnsi="Arial"/>
          <w:sz w:val="18"/>
          <w:szCs w:val="18"/>
          <w:color w:val="auto"/>
        </w:rPr>
      </w:pPr>
    </w:p>
    <w:p>
      <w:pPr>
        <w:ind w:left="1780"/>
        <w:spacing w:after="0"/>
        <w:rPr>
          <w:rFonts w:ascii="Arial" w:cs="Arial" w:eastAsia="Arial" w:hAnsi="Arial"/>
          <w:sz w:val="18"/>
          <w:szCs w:val="18"/>
          <w:color w:val="auto"/>
        </w:rPr>
      </w:pPr>
      <w:r>
        <w:rPr>
          <w:rFonts w:ascii="Arial" w:cs="Arial" w:eastAsia="Arial" w:hAnsi="Arial"/>
          <w:sz w:val="18"/>
          <w:szCs w:val="18"/>
          <w:color w:val="auto"/>
        </w:rPr>
        <w:t>323,829</w:t>
      </w:r>
    </w:p>
    <w:p>
      <w:pPr>
        <w:spacing w:after="0" w:line="9" w:lineRule="exact"/>
        <w:rPr>
          <w:rFonts w:ascii="Arial" w:cs="Arial" w:eastAsia="Arial" w:hAnsi="Arial"/>
          <w:sz w:val="18"/>
          <w:szCs w:val="18"/>
          <w:color w:val="auto"/>
        </w:rPr>
      </w:pPr>
    </w:p>
    <w:p>
      <w:pPr>
        <w:ind w:left="1780"/>
        <w:spacing w:after="0"/>
        <w:rPr>
          <w:rFonts w:ascii="Arial" w:cs="Arial" w:eastAsia="Arial" w:hAnsi="Arial"/>
          <w:sz w:val="18"/>
          <w:szCs w:val="18"/>
          <w:color w:val="auto"/>
        </w:rPr>
      </w:pPr>
      <w:r>
        <w:rPr>
          <w:rFonts w:ascii="Arial" w:cs="Arial" w:eastAsia="Arial" w:hAnsi="Arial"/>
          <w:sz w:val="18"/>
          <w:szCs w:val="18"/>
          <w:color w:val="auto"/>
        </w:rPr>
        <w:t>328,169</w:t>
      </w:r>
    </w:p>
    <w:p>
      <w:pPr>
        <w:spacing w:after="0" w:line="9" w:lineRule="exact"/>
        <w:rPr>
          <w:rFonts w:ascii="Arial" w:cs="Arial" w:eastAsia="Arial" w:hAnsi="Arial"/>
          <w:sz w:val="18"/>
          <w:szCs w:val="18"/>
          <w:color w:val="auto"/>
        </w:rPr>
      </w:pPr>
    </w:p>
    <w:p>
      <w:pPr>
        <w:ind w:left="1780"/>
        <w:spacing w:after="0"/>
        <w:rPr>
          <w:rFonts w:ascii="Arial" w:cs="Arial" w:eastAsia="Arial" w:hAnsi="Arial"/>
          <w:sz w:val="18"/>
          <w:szCs w:val="18"/>
          <w:color w:val="auto"/>
        </w:rPr>
      </w:pPr>
      <w:r>
        <w:rPr>
          <w:rFonts w:ascii="Arial" w:cs="Arial" w:eastAsia="Arial" w:hAnsi="Arial"/>
          <w:sz w:val="18"/>
          <w:szCs w:val="18"/>
          <w:color w:val="auto"/>
        </w:rPr>
        <w:t>274,297</w:t>
      </w:r>
    </w:p>
    <w:p>
      <w:pPr>
        <w:spacing w:after="0" w:line="9" w:lineRule="exact"/>
        <w:rPr>
          <w:rFonts w:ascii="Arial" w:cs="Arial" w:eastAsia="Arial" w:hAnsi="Arial"/>
          <w:sz w:val="18"/>
          <w:szCs w:val="18"/>
          <w:color w:val="auto"/>
        </w:rPr>
      </w:pPr>
    </w:p>
    <w:p>
      <w:pPr>
        <w:ind w:left="1780"/>
        <w:spacing w:after="0"/>
        <w:rPr>
          <w:rFonts w:ascii="Arial" w:cs="Arial" w:eastAsia="Arial" w:hAnsi="Arial"/>
          <w:sz w:val="18"/>
          <w:szCs w:val="18"/>
          <w:color w:val="auto"/>
        </w:rPr>
      </w:pPr>
      <w:r>
        <w:rPr>
          <w:rFonts w:ascii="Arial" w:cs="Arial" w:eastAsia="Arial" w:hAnsi="Arial"/>
          <w:sz w:val="18"/>
          <w:szCs w:val="18"/>
          <w:color w:val="auto"/>
        </w:rPr>
        <w:t>188,250</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2,906,861</w:t>
      </w:r>
    </w:p>
    <w:p>
      <w:pPr>
        <w:spacing w:after="0" w:line="21" w:lineRule="exact"/>
        <w:rPr>
          <w:sz w:val="20"/>
          <w:szCs w:val="20"/>
          <w:color w:val="auto"/>
        </w:rPr>
      </w:pPr>
    </w:p>
    <w:p>
      <w:pPr>
        <w:ind w:left="1660" w:hanging="733"/>
        <w:spacing w:after="0"/>
        <w:tabs>
          <w:tab w:leader="none" w:pos="1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4,772,911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21590</wp:posOffset>
            </wp:positionV>
            <wp:extent cx="9169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16940" cy="8255"/>
                    </a:xfrm>
                    <a:prstGeom prst="rect">
                      <a:avLst/>
                    </a:prstGeom>
                    <a:noFill/>
                  </pic:spPr>
                </pic:pic>
              </a:graphicData>
            </a:graphic>
          </wp:anchor>
        </w:drawing>
        <w:drawing>
          <wp:anchor simplePos="0" relativeHeight="251657728" behindDoc="1" locked="0" layoutInCell="0" allowOverlap="1">
            <wp:simplePos x="0" y="0"/>
            <wp:positionH relativeFrom="column">
              <wp:posOffset>588645</wp:posOffset>
            </wp:positionH>
            <wp:positionV relativeFrom="paragraph">
              <wp:posOffset>38735</wp:posOffset>
            </wp:positionV>
            <wp:extent cx="9169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ectPr>
          <w:pgSz w:w="11900" w:h="16838" w:orient="portrait"/>
          <w:cols w:equalWidth="0" w:num="2">
            <w:col w:w="8120" w:space="640"/>
            <w:col w:w="2440"/>
          </w:cols>
          <w:pgMar w:left="320" w:top="125" w:right="37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b w:val="1"/>
                <w:bCs w:val="1"/>
                <w:color w:val="auto"/>
              </w:rPr>
              <w:t>14. LEASE LIABILITIES - FINANCING LEASES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Financing lease obligation under a lease agreement for a truck payable in eighty-four monthly installments of</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w w:val="92"/>
              </w:rPr>
              <w:t>$2,188 including interest at the rate of 5.44%. During the three months ended March 31, 2020, the Company</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made principal and interest payments on this lease obligation in the amounts of $1,496 and $692,</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151,052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0" w:type="dxa"/>
            <w:vAlign w:val="bottom"/>
          </w:tcPr>
          <w:p>
            <w:pPr>
              <w:spacing w:after="0" w:line="201" w:lineRule="exact"/>
              <w:rPr>
                <w:sz w:val="20"/>
                <w:szCs w:val="20"/>
                <w:color w:val="auto"/>
              </w:rPr>
            </w:pPr>
            <w:r>
              <w:rPr>
                <w:rFonts w:ascii="Arial" w:cs="Arial" w:eastAsia="Arial" w:hAnsi="Arial"/>
                <w:sz w:val="18"/>
                <w:szCs w:val="18"/>
                <w:color w:val="auto"/>
                <w:w w:val="93"/>
              </w:rPr>
              <w:t>Financing lease obligation under a lease agreement for a forklift payable in thirty-six monthly installments of</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w w:val="94"/>
              </w:rPr>
              <w:t>$579 including interest at the rate of 4.83%. During the three months ended March 31, 2020, the Company</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made principal and interest payments on this lease obligation in the amounts of $4,769 and $2,208,</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102,828</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107,597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0" w:type="dxa"/>
            <w:vAlign w:val="bottom"/>
          </w:tcPr>
          <w:p>
            <w:pPr>
              <w:spacing w:after="0" w:line="201" w:lineRule="exact"/>
              <w:rPr>
                <w:sz w:val="20"/>
                <w:szCs w:val="20"/>
                <w:color w:val="auto"/>
              </w:rPr>
            </w:pPr>
            <w:r>
              <w:rPr>
                <w:rFonts w:ascii="Arial" w:cs="Arial" w:eastAsia="Arial" w:hAnsi="Arial"/>
                <w:sz w:val="18"/>
                <w:szCs w:val="18"/>
                <w:color w:val="auto"/>
                <w:w w:val="93"/>
              </w:rPr>
              <w:t>Financing lease obligations under a lease agreement for a truck in the original amount of $128,587 payable</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w w:val="95"/>
              </w:rPr>
              <w:t>in seventy monthly installments of $2,326 including interest at the rate of 8.33%. During the three months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w w:val="95"/>
              </w:rPr>
              <w:t>ended March 31, 2020, the Company made principal and interest payments on this lease obligation in the</w:t>
            </w:r>
          </w:p>
        </w:tc>
        <w:tc>
          <w:tcPr>
            <w:tcW w:w="220" w:type="dxa"/>
            <w:vAlign w:val="bottom"/>
          </w:tcPr>
          <w:p>
            <w:pPr>
              <w:spacing w:after="0"/>
              <w:rPr>
                <w:sz w:val="18"/>
                <w:szCs w:val="18"/>
                <w:color w:val="auto"/>
              </w:rPr>
            </w:pPr>
          </w:p>
        </w:tc>
        <w:tc>
          <w:tcPr>
            <w:tcW w:w="14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74,651</w:t>
            </w:r>
          </w:p>
        </w:tc>
        <w:tc>
          <w:tcPr>
            <w:tcW w:w="160" w:type="dxa"/>
            <w:vAlign w:val="bottom"/>
          </w:tcPr>
          <w:p>
            <w:pPr>
              <w:spacing w:after="0"/>
              <w:rPr>
                <w:sz w:val="18"/>
                <w:szCs w:val="18"/>
                <w:color w:val="auto"/>
              </w:rPr>
            </w:pPr>
          </w:p>
        </w:tc>
        <w:tc>
          <w:tcPr>
            <w:tcW w:w="14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77,140</w:t>
            </w:r>
          </w:p>
        </w:tc>
        <w:tc>
          <w:tcPr>
            <w:tcW w:w="0" w:type="dxa"/>
            <w:vAlign w:val="bottom"/>
          </w:tcPr>
          <w:p>
            <w:pPr>
              <w:spacing w:after="0"/>
              <w:rPr>
                <w:sz w:val="1"/>
                <w:szCs w:val="1"/>
                <w:color w:val="auto"/>
              </w:rPr>
            </w:pPr>
          </w:p>
        </w:tc>
      </w:tr>
      <w:tr>
        <w:trPr>
          <w:trHeight w:val="217"/>
        </w:trPr>
        <w:tc>
          <w:tcPr>
            <w:tcW w:w="8000" w:type="dxa"/>
            <w:vAlign w:val="bottom"/>
          </w:tcPr>
          <w:p>
            <w:pPr>
              <w:spacing w:after="0"/>
              <w:rPr>
                <w:sz w:val="20"/>
                <w:szCs w:val="20"/>
                <w:color w:val="auto"/>
              </w:rPr>
            </w:pPr>
            <w:r>
              <w:rPr>
                <w:rFonts w:ascii="Arial" w:cs="Arial" w:eastAsia="Arial" w:hAnsi="Arial"/>
                <w:sz w:val="18"/>
                <w:szCs w:val="18"/>
                <w:color w:val="auto"/>
              </w:rPr>
              <w:t>amounts of $2,489 and $953, respectively.</w:t>
            </w:r>
          </w:p>
        </w:tc>
        <w:tc>
          <w:tcPr>
            <w:tcW w:w="22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328,531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184,737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portion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47,261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29,832</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maturities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281,270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154,905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328,531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184,737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8"/>
                <w:szCs w:val="18"/>
                <w:color w:val="auto"/>
              </w:rPr>
              <w:t>Aggregate maturities of lease liabilities – financing leases as of March 31, 2020 are as follows: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color w:val="auto"/>
              </w:rPr>
              <w:t>For the period ended March 31,</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48,863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52,161</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55,693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58,939</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46,915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65,960</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328,531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 of shares to officers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months ended March 31, 2020 in connection with stock based compensation based upon the terms of employment agreements with its employees and compensation agreements with the Company’s independent board members, the Company charged to operations the aggregate total amount of $12,500 for the vesting of a total of 24,258 shares of common stock issuable to two of its independent board members. The Company also recognized non-cash compensation in the amount of $34,120 during the three months ended March 31, 2020 in connection with stock options issuable to management and board members.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chief executive officer provided a limited waiver through June 29, 2020 of certain rights and benefits contained in his employment agreement following a Change in Control (as defined in the employment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2019:</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March 31, 2019 in connection with stock based compensation based upon the terms of employment agreements with its employees and compensation agreements with the Company’s independent board members, the Company charged to operations the aggregate total amount of $54,036 for the vesting of a total of 97,084 shares of common stock issuable to its Chief Executive Officer, its Director of Strategic Acquisitions and to its two independent board members.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2019, the Company awarded the following to each of its two independent directors: (i) a cash retainer in the amount of $45,000, which was paid in January 2019; and (ii) cash retainers in the amount of $30,000 per year, to be paid quarterly.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January 2019, the Company awarded the following stock options to each of its four directors:</w:t>
      </w:r>
    </w:p>
    <w:p>
      <w:pPr>
        <w:spacing w:after="0" w:line="23" w:lineRule="exact"/>
        <w:rPr>
          <w:sz w:val="20"/>
          <w:szCs w:val="20"/>
          <w:color w:val="auto"/>
        </w:rPr>
      </w:pPr>
    </w:p>
    <w:p>
      <w:pPr>
        <w:ind w:left="1220" w:hanging="402"/>
        <w:spacing w:after="0"/>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 five-year options to purchase 90,000 shares of common stock at a price of $0.62 per share, vesting quarterly over a three year period;</w:t>
      </w:r>
    </w:p>
    <w:p>
      <w:pPr>
        <w:spacing w:after="0" w:line="32" w:lineRule="exact"/>
        <w:rPr>
          <w:rFonts w:ascii="Arial" w:cs="Arial" w:eastAsia="Arial" w:hAnsi="Arial"/>
          <w:sz w:val="16"/>
          <w:szCs w:val="16"/>
          <w:color w:val="auto"/>
        </w:rPr>
      </w:pPr>
    </w:p>
    <w:p>
      <w:pPr>
        <w:ind w:left="1220" w:hanging="402"/>
        <w:spacing w:after="0"/>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(ii) five-year options to purchase 135,000 shares of common stock at a price of $0.85 per share, vesting quarterly over a three year period;</w:t>
      </w:r>
    </w:p>
    <w:p>
      <w:pPr>
        <w:spacing w:after="0" w:line="32" w:lineRule="exact"/>
        <w:rPr>
          <w:rFonts w:ascii="Arial" w:cs="Arial" w:eastAsia="Arial" w:hAnsi="Arial"/>
          <w:sz w:val="16"/>
          <w:szCs w:val="16"/>
          <w:color w:val="auto"/>
        </w:rPr>
      </w:pPr>
    </w:p>
    <w:p>
      <w:pPr>
        <w:ind w:left="1220" w:hanging="402"/>
        <w:spacing w:after="0"/>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(iii) five-year options to purchase 225,000 shares of common stock at a price of $1.20 per share, vesting quarterly over a three year period</w:t>
      </w:r>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recognized non-cash compensation in the amount of $38,550 during the three months ended March 31, 2019 in connection with these options.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Contingent Liability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the igourmet Asset Purchase Agreement, the Company recorded contingent liabilities in the original amount of $787,800. This amount relates to certain performance based payments over the twenty-four months following the acquisition date as well as to certain additional liabilities that the Company has evaluated and has recorded on a contingent basis. During the years ended December 31, 2018 and 2019, the Company reduced this amount by $392,900 and $132,300, respectively, as the performance goals for the first two years were not met. During the year ended December 31, 2019, the Company paid the amount of $39,000 in connection with the additional liabilities; during the three months ended March 31, 2020, the Company paid the amount of $12,000 in connection with the additional liabilities. At March 31, 2020, the amount of $67,000 remains on the Company’s balance sheet as a current contingent liability, and $144,600 as a long term contingent liability.</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Mouth Foods LLC Asset Acquisition, the Company recorded contingent liabilities in the amount of $240,576. These amounts relate to the estimate of certain performance based payments following the acquisition date as well as to certain additional liabilities that the Company has evaluated and has recorded on a contingent basis. During the year ended December 31, 2019, the Company paid the amount of $120,576 in connection with these liabilities. At March 31, 2020, $120,000 is classified as a current contingent liability.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License Agreements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May 2019, the Company entered into a royalty-based license agreement, through December 31, 2022 with a lifestyle brand, which provides the exclusive right, with certain carve-outs and limitations, to sell and promote branded gift baskets for certain channels including: retail, warehouse club stores, certain of the Company’s current e-commerce channels, and other e-commerce channels such as amazon.com (the “May 2019 License Agreement”). Pursuant to the May 2019 License Agreement, the Company paid an initial royalty deposit in the amount of $50,000 towards the minimum royalty; during the three months ended March 31, 2020, the Company paid an additional $10,000 towards the minimum royalty. Future royalty amounts owed for minimum payments in connection with the May 2019 License Agreement will be deducted from this deposit. The royalty rate is 5% of net sales, and the Company is required, with certain exceptions and exclusions, to make minimum royalty payments of $100,000 through the end of 2020, $110,000 in 2021, and $125,000 in 2022, respectively.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September 16, 2019, an action (the “PA Action”) was filed in the Court of Common Pleas of Philadelphia County, Trial Division, against, among others, the Company and its wholly-owned subsidiaries, Innovative Gourmet LLC and Food Innovations, Inc. The complaint in the PA Action alleges, inter alia, wrongful death and negligence by a driver employed by Innovative Gourmet and indicates a demand and offer to settle for fifty million dollars. We expect that should a settlement occur the amount would be substantially lower. The Company and its subsidiaries had auto and umbrella insurance policies, among others, that were in effect for the relevant period. While the initial response from the relevant insurance companies has been to provide coverage only under an auto policy, which has been fully offered, we intend to further aggressively pursue the Company’s and its subsidiaries’ insurance coverage under their umbrella and other available policies. In addition, the Company has been defending this action and believes that the likely outcome would result in any liabilities being covered by its insurance carriers. However, if the Company was found responsible for damages in excess of its available insurance coverage, such damages in excess of the coverage could have a material adverse effect on the Company’s operations.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the Company has become and may become involved in certain lawsuits and legal proceedings which arise in the ordinary course of business, or as the result of current or previous investments, or current or previous subsidiaries, or current or previous employees, or current or previous directors, or as a result of acquisitions and dispositions or other corporate activities. The Company intends to vigorously defend its positions. However, litigation is subject to inherent uncertainties, and an adverse result in these or other matters may arise from time to time that may harm our financial position or our business and the outcome of these matters cannot be ultimately predicted.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2020 and December 31, 2019, a total of 2,837,580 shares are deemed issued but not outstanding by the Company. These include 2,623,171 shares of treasury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March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issued 38,943 shares of common stock with a fair value of $17,135 to an employee as a bonus.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issued 4,762 shares of common stock with a fair value of $2,286 to a service provider.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accrued the amount of $12,500 in connection with the vesting of 24,258 shares of common stock issuable to board members in connection with their compensation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accrued the amount of $34,120 in connection with the vesting of stock options to management and board members.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March 31, 2019:</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issued a total of 131,136 shares of common stock to seven employees for previously accrued bonuses in the amount of $93,666.</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accrued the amount of $61,594 in connection with the vesting of 110,980 shares of common stock issuable to board members and employees in connection with their employment agreements.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options outstanding at March 31, 2020 and the related prices for the options to purchase shares of the Company’s common stock issued by the Company: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Weighted</w:t>
            </w: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center"/>
              <w:ind w:left="250"/>
              <w:spacing w:after="0"/>
              <w:rPr>
                <w:sz w:val="20"/>
                <w:szCs w:val="20"/>
                <w:color w:val="auto"/>
              </w:rPr>
            </w:pPr>
            <w:r>
              <w:rPr>
                <w:rFonts w:ascii="Arial" w:cs="Arial" w:eastAsia="Arial" w:hAnsi="Arial"/>
                <w:sz w:val="18"/>
                <w:szCs w:val="18"/>
                <w:b w:val="1"/>
                <w:bCs w:val="1"/>
                <w:color w:val="auto"/>
                <w:w w:val="88"/>
              </w:rPr>
              <w:t>Weighted</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average</w:t>
            </w: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center"/>
              <w:ind w:left="250"/>
              <w:spacing w:after="0"/>
              <w:rPr>
                <w:sz w:val="20"/>
                <w:szCs w:val="20"/>
                <w:color w:val="auto"/>
              </w:rPr>
            </w:pPr>
            <w:r>
              <w:rPr>
                <w:rFonts w:ascii="Arial" w:cs="Arial" w:eastAsia="Arial" w:hAnsi="Arial"/>
                <w:sz w:val="18"/>
                <w:szCs w:val="18"/>
                <w:b w:val="1"/>
                <w:bCs w:val="1"/>
                <w:color w:val="auto"/>
                <w:w w:val="88"/>
              </w:rPr>
              <w:t>average</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3"/>
              </w:rPr>
              <w:t>exercise</w:t>
            </w: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5"/>
              </w:rPr>
              <w:t>exercise</w:t>
            </w:r>
          </w:p>
        </w:tc>
      </w:tr>
      <w:tr>
        <w:trPr>
          <w:trHeight w:val="216"/>
        </w:trPr>
        <w:tc>
          <w:tcPr>
            <w:tcW w:w="120" w:type="dxa"/>
            <w:vAlign w:val="bottom"/>
          </w:tcPr>
          <w:p>
            <w:pPr>
              <w:spacing w:after="0"/>
              <w:rPr>
                <w:sz w:val="18"/>
                <w:szCs w:val="18"/>
                <w:color w:val="auto"/>
              </w:rPr>
            </w:pPr>
          </w:p>
        </w:tc>
        <w:tc>
          <w:tcPr>
            <w:tcW w:w="1240" w:type="dxa"/>
            <w:vAlign w:val="bottom"/>
          </w:tcPr>
          <w:p>
            <w:pPr>
              <w:jc w:val="center"/>
              <w:ind w:left="310"/>
              <w:spacing w:after="0"/>
              <w:rPr>
                <w:sz w:val="20"/>
                <w:szCs w:val="20"/>
                <w:color w:val="auto"/>
              </w:rPr>
            </w:pPr>
            <w:r>
              <w:rPr>
                <w:rFonts w:ascii="Arial" w:cs="Arial" w:eastAsia="Arial" w:hAnsi="Arial"/>
                <w:sz w:val="18"/>
                <w:szCs w:val="18"/>
                <w:b w:val="1"/>
                <w:bCs w:val="1"/>
                <w:color w:val="auto"/>
                <w:w w:val="88"/>
              </w:rPr>
              <w:t>Range of</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30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Remaining</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price of</w:t>
            </w:r>
          </w:p>
        </w:tc>
        <w:tc>
          <w:tcPr>
            <w:tcW w:w="17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9"/>
              </w:rPr>
              <w:t>price of</w:t>
            </w:r>
          </w:p>
        </w:tc>
      </w:tr>
      <w:tr>
        <w:trPr>
          <w:trHeight w:val="216"/>
        </w:trPr>
        <w:tc>
          <w:tcPr>
            <w:tcW w:w="120" w:type="dxa"/>
            <w:vAlign w:val="bottom"/>
          </w:tcPr>
          <w:p>
            <w:pPr>
              <w:spacing w:after="0"/>
              <w:rPr>
                <w:sz w:val="18"/>
                <w:szCs w:val="18"/>
                <w:color w:val="auto"/>
              </w:rPr>
            </w:pPr>
          </w:p>
        </w:tc>
        <w:tc>
          <w:tcPr>
            <w:tcW w:w="1240" w:type="dxa"/>
            <w:vAlign w:val="bottom"/>
          </w:tcPr>
          <w:p>
            <w:pPr>
              <w:jc w:val="center"/>
              <w:ind w:left="290"/>
              <w:spacing w:after="0"/>
              <w:rPr>
                <w:sz w:val="20"/>
                <w:szCs w:val="20"/>
                <w:color w:val="auto"/>
              </w:rPr>
            </w:pPr>
            <w:r>
              <w:rPr>
                <w:rFonts w:ascii="Arial" w:cs="Arial" w:eastAsia="Arial" w:hAnsi="Arial"/>
                <w:sz w:val="18"/>
                <w:szCs w:val="18"/>
                <w:b w:val="1"/>
                <w:bCs w:val="1"/>
                <w:color w:val="auto"/>
                <w:w w:val="85"/>
              </w:rPr>
              <w:t>exercise</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options</w:t>
            </w:r>
          </w:p>
        </w:tc>
        <w:tc>
          <w:tcPr>
            <w:tcW w:w="1300" w:type="dxa"/>
            <w:vAlign w:val="bottom"/>
          </w:tcPr>
          <w:p>
            <w:pPr>
              <w:jc w:val="center"/>
              <w:ind w:left="250"/>
              <w:spacing w:after="0"/>
              <w:rPr>
                <w:sz w:val="20"/>
                <w:szCs w:val="20"/>
                <w:color w:val="auto"/>
              </w:rPr>
            </w:pPr>
            <w:r>
              <w:rPr>
                <w:rFonts w:ascii="Arial" w:cs="Arial" w:eastAsia="Arial" w:hAnsi="Arial"/>
                <w:sz w:val="18"/>
                <w:szCs w:val="18"/>
                <w:b w:val="1"/>
                <w:bCs w:val="1"/>
                <w:color w:val="auto"/>
                <w:w w:val="90"/>
              </w:rPr>
              <w:t>contractual</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outstanding</w:t>
            </w:r>
          </w:p>
        </w:tc>
        <w:tc>
          <w:tcPr>
            <w:tcW w:w="460" w:type="dxa"/>
            <w:vAlign w:val="bottom"/>
          </w:tcPr>
          <w:p>
            <w:pPr>
              <w:spacing w:after="0"/>
              <w:rPr>
                <w:sz w:val="18"/>
                <w:szCs w:val="18"/>
                <w:color w:val="auto"/>
              </w:rPr>
            </w:pPr>
          </w:p>
        </w:tc>
        <w:tc>
          <w:tcPr>
            <w:tcW w:w="13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6"/>
              </w:rPr>
              <w:t>options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7"/>
              </w:rPr>
              <w:t>exercisable</w:t>
            </w:r>
          </w:p>
        </w:tc>
      </w:tr>
      <w:tr>
        <w:trPr>
          <w:trHeight w:val="234"/>
        </w:trPr>
        <w:tc>
          <w:tcPr>
            <w:tcW w:w="120" w:type="dxa"/>
            <w:vAlign w:val="bottom"/>
          </w:tcPr>
          <w:p>
            <w:pPr>
              <w:spacing w:after="0"/>
              <w:rPr>
                <w:sz w:val="20"/>
                <w:szCs w:val="20"/>
                <w:color w:val="auto"/>
              </w:rPr>
            </w:pPr>
          </w:p>
        </w:tc>
        <w:tc>
          <w:tcPr>
            <w:tcW w:w="124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85"/>
              </w:rPr>
              <w:t>Prices</w:t>
            </w:r>
          </w:p>
        </w:tc>
        <w:tc>
          <w:tcPr>
            <w:tcW w:w="3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220" w:type="dxa"/>
            <w:vAlign w:val="bottom"/>
          </w:tcPr>
          <w:p>
            <w:pPr>
              <w:spacing w:after="0"/>
              <w:rPr>
                <w:sz w:val="20"/>
                <w:szCs w:val="20"/>
                <w:color w:val="auto"/>
              </w:rPr>
            </w:pPr>
          </w:p>
        </w:tc>
        <w:tc>
          <w:tcPr>
            <w:tcW w:w="130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88"/>
              </w:rPr>
              <w:t>life (years)</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8"/>
              </w:rPr>
              <w:t>Options</w:t>
            </w:r>
          </w:p>
        </w:tc>
        <w:tc>
          <w:tcPr>
            <w:tcW w:w="220" w:type="dxa"/>
            <w:vAlign w:val="bottom"/>
          </w:tcPr>
          <w:p>
            <w:pPr>
              <w:spacing w:after="0"/>
              <w:rPr>
                <w:sz w:val="20"/>
                <w:szCs w:val="20"/>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Exercisable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91"/>
              </w:rPr>
              <w:t>Options</w:t>
            </w:r>
          </w:p>
        </w:tc>
        <w:tc>
          <w:tcPr>
            <w:tcW w:w="100" w:type="dxa"/>
            <w:vAlign w:val="bottom"/>
          </w:tcPr>
          <w:p>
            <w:pPr>
              <w:spacing w:after="0"/>
              <w:rPr>
                <w:sz w:val="20"/>
                <w:szCs w:val="20"/>
                <w:color w:val="auto"/>
              </w:rPr>
            </w:pPr>
          </w:p>
        </w:tc>
      </w:tr>
      <w:tr>
        <w:trPr>
          <w:trHeight w:val="210"/>
        </w:trPr>
        <w:tc>
          <w:tcPr>
            <w:tcW w:w="1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0.62</w:t>
            </w: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360,000</w:t>
            </w:r>
          </w:p>
        </w:tc>
        <w:tc>
          <w:tcPr>
            <w:tcW w:w="1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3.75</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0.62</w:t>
            </w: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150,000</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00" w:type="dxa"/>
            <w:vAlign w:val="bottom"/>
            <w:shd w:val="clear" w:color="auto" w:fill="CCEEFF"/>
          </w:tcPr>
          <w:p>
            <w:pPr>
              <w:spacing w:after="0"/>
              <w:rPr>
                <w:sz w:val="18"/>
                <w:szCs w:val="18"/>
                <w:color w:val="auto"/>
              </w:rPr>
            </w:pPr>
          </w:p>
        </w:tc>
      </w:tr>
      <w:tr>
        <w:trPr>
          <w:trHeight w:val="216"/>
        </w:trPr>
        <w:tc>
          <w:tcPr>
            <w:tcW w:w="1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0.85</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540,000</w:t>
            </w:r>
          </w:p>
        </w:tc>
        <w:tc>
          <w:tcPr>
            <w:tcW w:w="13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3.75</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0.85</w:t>
            </w:r>
          </w:p>
        </w:tc>
        <w:tc>
          <w:tcPr>
            <w:tcW w:w="1760" w:type="dxa"/>
            <w:vAlign w:val="bottom"/>
            <w:gridSpan w:val="3"/>
          </w:tcPr>
          <w:p>
            <w:pPr>
              <w:jc w:val="right"/>
              <w:ind w:right="100"/>
              <w:spacing w:after="0"/>
              <w:rPr>
                <w:sz w:val="20"/>
                <w:szCs w:val="20"/>
                <w:color w:val="auto"/>
              </w:rPr>
            </w:pPr>
            <w:r>
              <w:rPr>
                <w:rFonts w:ascii="Arial" w:cs="Arial" w:eastAsia="Arial" w:hAnsi="Arial"/>
                <w:sz w:val="18"/>
                <w:szCs w:val="18"/>
                <w:color w:val="auto"/>
              </w:rPr>
              <w:t>225,000</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18"/>
                <w:szCs w:val="18"/>
                <w:color w:val="auto"/>
              </w:rPr>
            </w:pPr>
          </w:p>
        </w:tc>
      </w:tr>
      <w:tr>
        <w:trPr>
          <w:trHeight w:val="216"/>
        </w:trPr>
        <w:tc>
          <w:tcPr>
            <w:tcW w:w="1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75,000</w:t>
            </w:r>
          </w:p>
        </w:tc>
        <w:tc>
          <w:tcPr>
            <w:tcW w:w="1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1.12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r>
      <w:tr>
        <w:trPr>
          <w:trHeight w:val="216"/>
        </w:trPr>
        <w:tc>
          <w:tcPr>
            <w:tcW w:w="1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950,000</w:t>
            </w:r>
          </w:p>
        </w:tc>
        <w:tc>
          <w:tcPr>
            <w:tcW w:w="13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3.68</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1760" w:type="dxa"/>
            <w:vAlign w:val="bottom"/>
            <w:gridSpan w:val="3"/>
          </w:tcPr>
          <w:p>
            <w:pPr>
              <w:jc w:val="right"/>
              <w:ind w:right="100"/>
              <w:spacing w:after="0"/>
              <w:rPr>
                <w:sz w:val="20"/>
                <w:szCs w:val="20"/>
                <w:color w:val="auto"/>
              </w:rPr>
            </w:pPr>
            <w:r>
              <w:rPr>
                <w:rFonts w:ascii="Arial" w:cs="Arial" w:eastAsia="Arial" w:hAnsi="Arial"/>
                <w:sz w:val="18"/>
                <w:szCs w:val="18"/>
                <w:color w:val="auto"/>
              </w:rPr>
              <w:t>375,000</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r>
      <w:tr>
        <w:trPr>
          <w:trHeight w:val="216"/>
        </w:trPr>
        <w:tc>
          <w:tcPr>
            <w:tcW w:w="1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125,000</w:t>
            </w:r>
          </w:p>
        </w:tc>
        <w:tc>
          <w:tcPr>
            <w:tcW w:w="1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1.75</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125,000</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2,050,000</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3.50</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1760" w:type="dxa"/>
            <w:vAlign w:val="bottom"/>
            <w:gridSpan w:val="3"/>
          </w:tcPr>
          <w:p>
            <w:pPr>
              <w:jc w:val="right"/>
              <w:ind w:right="100"/>
              <w:spacing w:after="0"/>
              <w:rPr>
                <w:sz w:val="20"/>
                <w:szCs w:val="20"/>
                <w:color w:val="auto"/>
              </w:rPr>
            </w:pPr>
            <w:r>
              <w:rPr>
                <w:rFonts w:ascii="Arial" w:cs="Arial" w:eastAsia="Arial" w:hAnsi="Arial"/>
                <w:sz w:val="18"/>
                <w:szCs w:val="18"/>
                <w:color w:val="auto"/>
              </w:rPr>
              <w:t>950,000</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5120" w:type="dxa"/>
            <w:vAlign w:val="bottom"/>
            <w:gridSpan w:val="7"/>
          </w:tcPr>
          <w:p>
            <w:pPr>
              <w:spacing w:after="0"/>
              <w:rPr>
                <w:sz w:val="20"/>
                <w:szCs w:val="20"/>
                <w:color w:val="auto"/>
              </w:rPr>
            </w:pPr>
            <w:r>
              <w:rPr>
                <w:rFonts w:ascii="Arial" w:cs="Arial" w:eastAsia="Arial" w:hAnsi="Arial"/>
                <w:sz w:val="18"/>
                <w:szCs w:val="18"/>
                <w:color w:val="auto"/>
                <w:w w:val="99"/>
              </w:rPr>
              <w:t>Transactions involving stock options are summarized as follows:</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Weighted Average</w:t>
            </w: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1"/>
              </w:rPr>
              <w:t>Number of Shares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Exercise Price</w:t>
            </w:r>
          </w:p>
        </w:tc>
        <w:tc>
          <w:tcPr>
            <w:tcW w:w="100" w:type="dxa"/>
            <w:vAlign w:val="bottom"/>
          </w:tcPr>
          <w:p>
            <w:pPr>
              <w:spacing w:after="0"/>
              <w:rPr>
                <w:sz w:val="20"/>
                <w:szCs w:val="20"/>
                <w:color w:val="auto"/>
              </w:rPr>
            </w:pPr>
          </w:p>
        </w:tc>
      </w:tr>
      <w:tr>
        <w:trPr>
          <w:trHeight w:val="209"/>
        </w:trPr>
        <w:tc>
          <w:tcPr>
            <w:tcW w:w="38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Options outstanding at December 31, 2019</w:t>
            </w: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2,525,000</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r>
      <w:tr>
        <w:trPr>
          <w:trHeight w:val="216"/>
        </w:trPr>
        <w:tc>
          <w:tcPr>
            <w:tcW w:w="136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Granted</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8"/>
                <w:szCs w:val="8"/>
                <w:color w:val="auto"/>
                <w:w w:val="73"/>
              </w:rPr>
              <w:t>-</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ind w:left="120"/>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Cancelled / Expired</w:t>
            </w: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(475,000)</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r>
      <w:tr>
        <w:trPr>
          <w:trHeight w:val="210"/>
        </w:trPr>
        <w:tc>
          <w:tcPr>
            <w:tcW w:w="3820" w:type="dxa"/>
            <w:vAlign w:val="bottom"/>
            <w:tcBorders>
              <w:top w:val="single" w:sz="8" w:color="CCEEFF"/>
            </w:tcBorders>
            <w:gridSpan w:val="6"/>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gridSpan w:val="3"/>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382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Options outstanding at March 31, 2020</w:t>
            </w:r>
          </w:p>
        </w:tc>
        <w:tc>
          <w:tcPr>
            <w:tcW w:w="13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2,050,000</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96"/>
        </w:trPr>
        <w:tc>
          <w:tcPr>
            <w:tcW w:w="3820" w:type="dxa"/>
            <w:vAlign w:val="bottom"/>
            <w:gridSpan w:val="6"/>
          </w:tcPr>
          <w:p>
            <w:pPr>
              <w:spacing w:after="0" w:line="196" w:lineRule="exact"/>
              <w:rPr>
                <w:sz w:val="20"/>
                <w:szCs w:val="20"/>
                <w:color w:val="auto"/>
              </w:rPr>
            </w:pPr>
            <w:r>
              <w:rPr>
                <w:rFonts w:ascii="Arial" w:cs="Arial" w:eastAsia="Arial" w:hAnsi="Arial"/>
                <w:sz w:val="18"/>
                <w:szCs w:val="18"/>
                <w:color w:val="auto"/>
              </w:rPr>
              <w:t>Options exercisable at March 31, 2020</w:t>
            </w: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950,000</w:t>
            </w:r>
          </w:p>
        </w:tc>
        <w:tc>
          <w:tcPr>
            <w:tcW w:w="120" w:type="dxa"/>
            <w:vAlign w:val="bottom"/>
          </w:tcPr>
          <w:p>
            <w:pPr>
              <w:spacing w:after="0"/>
              <w:rPr>
                <w:sz w:val="17"/>
                <w:szCs w:val="17"/>
                <w:color w:val="auto"/>
              </w:rPr>
            </w:pPr>
          </w:p>
        </w:tc>
        <w:tc>
          <w:tcPr>
            <w:tcW w:w="220" w:type="dxa"/>
            <w:vAlign w:val="bottom"/>
            <w:gridSpan w:val="2"/>
          </w:tcPr>
          <w:p>
            <w:pPr>
              <w:ind w:left="8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1.06</w:t>
            </w: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Aggregate intrinsic value of options outstanding and exercisable at March 31, 2020 and 2019 was $0. Aggregate intrinsic value represents the difference between the Company’s closing stock price on the last trading day of the fiscal period, which was $0.34 and $0.45 as of March 31, 2020 and 2019, respectively, and the exercise price multiplied by the number of options outstanding.</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2020 and 2019, the Company charged $34,120 and $38,550, respectively, to operations to recognized stock-based compensation expense for employee stock options.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for warrants and stock options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did not value any warrants or stock options during the three months ended March 31, 2020. The Company valued warrants and stock options during the three months ended March 31, 2019 using the Black-Scholes valuation model utilizing the following variables: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March 31,</w:t>
            </w:r>
          </w:p>
        </w:tc>
        <w:tc>
          <w:tcPr>
            <w:tcW w:w="114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09"/>
        </w:trPr>
        <w:tc>
          <w:tcPr>
            <w:tcW w:w="1120" w:type="dxa"/>
            <w:vAlign w:val="bottom"/>
          </w:tcPr>
          <w:p>
            <w:pPr>
              <w:spacing w:after="0"/>
              <w:rPr>
                <w:sz w:val="18"/>
                <w:szCs w:val="18"/>
                <w:color w:val="auto"/>
              </w:rPr>
            </w:pPr>
          </w:p>
        </w:tc>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4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Dividends</w:t>
            </w:r>
          </w:p>
        </w:tc>
        <w:tc>
          <w:tcPr>
            <w:tcW w:w="4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rates</w:t>
            </w:r>
          </w:p>
        </w:tc>
        <w:tc>
          <w:tcPr>
            <w:tcW w:w="4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140" w:type="dxa"/>
            <w:vAlign w:val="bottom"/>
          </w:tcPr>
          <w:p>
            <w:pPr>
              <w:spacing w:after="0"/>
              <w:rPr>
                <w:sz w:val="18"/>
                <w:szCs w:val="18"/>
                <w:color w:val="auto"/>
              </w:rPr>
            </w:pPr>
          </w:p>
        </w:tc>
      </w:tr>
      <w:tr>
        <w:trPr>
          <w:trHeight w:val="230"/>
        </w:trPr>
        <w:tc>
          <w:tcPr>
            <w:tcW w:w="112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Term (years)</w:t>
            </w:r>
          </w:p>
        </w:tc>
        <w:tc>
          <w:tcPr>
            <w:tcW w:w="4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5.00</w:t>
            </w:r>
          </w:p>
        </w:tc>
        <w:tc>
          <w:tcPr>
            <w:tcW w:w="1140" w:type="dxa"/>
            <w:vAlign w:val="bottom"/>
          </w:tcPr>
          <w:p>
            <w:pPr>
              <w:spacing w:after="0"/>
              <w:rPr>
                <w:sz w:val="20"/>
                <w:szCs w:val="20"/>
                <w:color w:val="auto"/>
              </w:rPr>
            </w:pPr>
          </w:p>
        </w:tc>
      </w:tr>
      <w:tr>
        <w:trPr>
          <w:trHeight w:val="418"/>
        </w:trPr>
        <w:tc>
          <w:tcPr>
            <w:tcW w:w="11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280" w:type="dxa"/>
            <w:vAlign w:val="bottom"/>
          </w:tcPr>
          <w:p>
            <w:pPr>
              <w:jc w:val="right"/>
              <w:ind w:right="261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tcPr>
          <w:p>
            <w:pPr>
              <w:spacing w:after="0"/>
              <w:rPr>
                <w:sz w:val="10"/>
                <w:szCs w:val="10"/>
                <w:color w:val="auto"/>
              </w:rPr>
            </w:pPr>
          </w:p>
        </w:tc>
        <w:tc>
          <w:tcPr>
            <w:tcW w:w="42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SBA Administered Loan</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On April 21, 2020, the Company received loan proceeds of $1,650,221 (the “Loan”) under a recent congressionally-approved act. The Loan is administered by the U.S. Small Business Administration. The Loan to the Company is being made through Fifth Third Bank, National Association (the “Lender”).</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 of the Loan is two years. The annual interest rate on the Loan is 1.00%. Payments of principal and interest on the loan will be deferred for the first six months of the term of the Loan. The promissory note evidencing the Loan contains customary events of default relating to, among other things, payment defaults, breach of representations and warranties, or provisions of the promissory note. The occurrence of an event of default may trigger the immediate repayment of all amounts outstanding, collection of all amounts owing from the Company, and/or filing suit and obtaining a judgment against the Company.</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terms of the Congressional act, Loan recipients can apply for and be granted forgiveness for all or a portion of the Loan granted under such act. Such forgiveness will be determined, subject to limitations, based on the use of loan proceeds for payroll costs and mortgage interest, rent or utility costs and the maintenance of employee and compensation levels. While the company currently anticipates that it will be eligible for a certain amount of forgiveness related to the Loan, no assurance is provided that the Company will obtain forgiveness of the Loan in whole or in part.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impact of COVID-19 on the Company is discussed above in “Business – Growth Strategy,” “Management’s Discussion and Analysis of Financial Condition and Results of Operations – 2020 Plans” and elsewhere in this Report and in the “Risk Factor” section of our Annual Report on Form 10-K for the year ended December 31, 2019.</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should be read in conjunction with the consolidated financial statements and the related notes thereto, as well as all other related notes, and financial and operational references, appearing elsewhere in this document.</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Certain information contained in this discussion and elsewhere in this report may include “forward-looking statements” within the meaning of the Private Securities Litigation Reform Act of 1995, and is subject to the safe harbor created by that act. The safe harbor created by the Private Securities Litigation Reform Act will not apply to certain “forward looking statements” because we issued “penny stock” (as defined in Section 3(a)(51) of the Securities Exchange Act of 1934 and Rule 3(a)(51-1) under the Exchange Act) during the three year period preceding the date(s) on which those forward looking statements were first made, except to the extent otherwise specifically provided by rule, regulation or order of the Securities and Exchange Commission. We caution readers that certain important factors may affect our actual results and could cause such results to differ materially from any forward-looking statements which may be deemed to have been made in this Report or which are otherwise made by or on our behalf. For this purpose, any statements contained in this report that are not statements of historical fact may be deemed to be forward-looking statements. Without limiting the generality of the foregoing, words such as “may”, “will”, “expect”, “believe”, “explore”, “consider”, “anticipate”, “intend”, “could”, “estimate”, “plan”, “propose” or “continue” or the negative variations of those words or comparable terminology are intended to identify forward-looking statements. Factors that may affect our results include, but are not limited to, the risks and uncertainties associated with:</w:t>
      </w:r>
    </w:p>
    <w:p>
      <w:pPr>
        <w:spacing w:after="0" w:line="182" w:lineRule="exact"/>
        <w:rPr>
          <w:sz w:val="20"/>
          <w:szCs w:val="20"/>
          <w:color w:val="auto"/>
        </w:rPr>
      </w:pPr>
    </w:p>
    <w:p>
      <w:pPr>
        <w:ind w:left="2180" w:hanging="148"/>
        <w:spacing w:after="0"/>
        <w:tabs>
          <w:tab w:leader="none" w:pos="2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raise capital necessary to sustain our anticipated operations and implement our business plan,</w:t>
      </w:r>
    </w:p>
    <w:p>
      <w:pPr>
        <w:spacing w:after="0" w:line="225" w:lineRule="exact"/>
        <w:rPr>
          <w:rFonts w:ascii="Arial" w:cs="Arial" w:eastAsia="Arial" w:hAnsi="Arial"/>
          <w:sz w:val="18"/>
          <w:szCs w:val="18"/>
          <w:color w:val="auto"/>
        </w:rPr>
      </w:pPr>
    </w:p>
    <w:p>
      <w:pPr>
        <w:ind w:left="2180" w:hanging="148"/>
        <w:spacing w:after="0"/>
        <w:tabs>
          <w:tab w:leader="none" w:pos="2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implement our business plan,</w:t>
      </w:r>
    </w:p>
    <w:p>
      <w:pPr>
        <w:spacing w:after="0" w:line="225" w:lineRule="exact"/>
        <w:rPr>
          <w:rFonts w:ascii="Arial" w:cs="Arial" w:eastAsia="Arial" w:hAnsi="Arial"/>
          <w:sz w:val="18"/>
          <w:szCs w:val="18"/>
          <w:color w:val="auto"/>
        </w:rPr>
      </w:pPr>
    </w:p>
    <w:p>
      <w:pPr>
        <w:ind w:left="2180" w:hanging="148"/>
        <w:spacing w:after="0"/>
        <w:tabs>
          <w:tab w:leader="none" w:pos="2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generate sufficient cash to pay our lenders and other creditors,</w:t>
      </w:r>
    </w:p>
    <w:p>
      <w:pPr>
        <w:spacing w:after="0" w:line="225" w:lineRule="exact"/>
        <w:rPr>
          <w:rFonts w:ascii="Arial" w:cs="Arial" w:eastAsia="Arial" w:hAnsi="Arial"/>
          <w:sz w:val="18"/>
          <w:szCs w:val="18"/>
          <w:color w:val="auto"/>
        </w:rPr>
      </w:pPr>
    </w:p>
    <w:p>
      <w:pPr>
        <w:ind w:left="2180" w:hanging="148"/>
        <w:spacing w:after="0"/>
        <w:tabs>
          <w:tab w:leader="none" w:pos="2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one major customer,</w:t>
      </w:r>
    </w:p>
    <w:p>
      <w:pPr>
        <w:spacing w:after="0" w:line="225" w:lineRule="exact"/>
        <w:rPr>
          <w:rFonts w:ascii="Arial" w:cs="Arial" w:eastAsia="Arial" w:hAnsi="Arial"/>
          <w:sz w:val="18"/>
          <w:szCs w:val="18"/>
          <w:color w:val="auto"/>
        </w:rPr>
      </w:pPr>
    </w:p>
    <w:p>
      <w:pPr>
        <w:ind w:left="2180" w:hanging="148"/>
        <w:spacing w:after="0"/>
        <w:tabs>
          <w:tab w:leader="none" w:pos="2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employ and retain qualified management and employees,</w:t>
      </w:r>
    </w:p>
    <w:p>
      <w:pPr>
        <w:spacing w:after="0" w:line="225" w:lineRule="exact"/>
        <w:rPr>
          <w:rFonts w:ascii="Arial" w:cs="Arial" w:eastAsia="Arial" w:hAnsi="Arial"/>
          <w:sz w:val="18"/>
          <w:szCs w:val="18"/>
          <w:color w:val="auto"/>
        </w:rPr>
      </w:pPr>
    </w:p>
    <w:p>
      <w:pPr>
        <w:ind w:left="2180" w:hanging="148"/>
        <w:spacing w:after="0"/>
        <w:tabs>
          <w:tab w:leader="none" w:pos="2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the efforts and abilities of our current employees and executive officers,</w:t>
      </w:r>
    </w:p>
    <w:p>
      <w:pPr>
        <w:spacing w:after="0" w:line="225" w:lineRule="exact"/>
        <w:rPr>
          <w:rFonts w:ascii="Arial" w:cs="Arial" w:eastAsia="Arial" w:hAnsi="Arial"/>
          <w:sz w:val="18"/>
          <w:szCs w:val="18"/>
          <w:color w:val="auto"/>
        </w:rPr>
      </w:pPr>
    </w:p>
    <w:p>
      <w:pPr>
        <w:ind w:left="2180" w:hanging="148"/>
        <w:spacing w:after="0"/>
        <w:tabs>
          <w:tab w:leader="none" w:pos="2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government regulations that are applicable to our current or anticipated business,</w:t>
      </w:r>
    </w:p>
    <w:p>
      <w:pPr>
        <w:spacing w:after="0" w:line="225" w:lineRule="exact"/>
        <w:rPr>
          <w:rFonts w:ascii="Arial" w:cs="Arial" w:eastAsia="Arial" w:hAnsi="Arial"/>
          <w:sz w:val="18"/>
          <w:szCs w:val="18"/>
          <w:color w:val="auto"/>
        </w:rPr>
      </w:pPr>
    </w:p>
    <w:p>
      <w:pPr>
        <w:ind w:left="2180" w:hanging="148"/>
        <w:spacing w:after="0"/>
        <w:tabs>
          <w:tab w:leader="none" w:pos="2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demand for our services and different food trends,</w:t>
      </w:r>
    </w:p>
    <w:p>
      <w:pPr>
        <w:spacing w:after="0" w:line="225" w:lineRule="exact"/>
        <w:rPr>
          <w:rFonts w:ascii="Arial" w:cs="Arial" w:eastAsia="Arial" w:hAnsi="Arial"/>
          <w:sz w:val="18"/>
          <w:szCs w:val="18"/>
          <w:color w:val="auto"/>
        </w:rPr>
      </w:pPr>
    </w:p>
    <w:p>
      <w:pPr>
        <w:ind w:left="2180" w:hanging="148"/>
        <w:spacing w:after="0"/>
        <w:tabs>
          <w:tab w:leader="none" w:pos="2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degree and nature of our competition,</w:t>
      </w:r>
    </w:p>
    <w:p>
      <w:pPr>
        <w:spacing w:after="0" w:line="225" w:lineRule="exact"/>
        <w:rPr>
          <w:rFonts w:ascii="Arial" w:cs="Arial" w:eastAsia="Arial" w:hAnsi="Arial"/>
          <w:sz w:val="18"/>
          <w:szCs w:val="18"/>
          <w:color w:val="auto"/>
        </w:rPr>
      </w:pPr>
    </w:p>
    <w:p>
      <w:pPr>
        <w:ind w:left="2180" w:hanging="148"/>
        <w:spacing w:after="0"/>
        <w:tabs>
          <w:tab w:leader="none" w:pos="2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lack of diversification of our business plan,</w:t>
      </w:r>
    </w:p>
    <w:p>
      <w:pPr>
        <w:spacing w:after="0" w:line="225" w:lineRule="exact"/>
        <w:rPr>
          <w:rFonts w:ascii="Arial" w:cs="Arial" w:eastAsia="Arial" w:hAnsi="Arial"/>
          <w:sz w:val="18"/>
          <w:szCs w:val="18"/>
          <w:color w:val="auto"/>
        </w:rPr>
      </w:pPr>
    </w:p>
    <w:p>
      <w:pPr>
        <w:ind w:left="2180" w:hanging="148"/>
        <w:spacing w:after="0"/>
        <w:tabs>
          <w:tab w:leader="none" w:pos="2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general volatility of the capital markets and the establishment of a market for our shares, and</w:t>
      </w:r>
    </w:p>
    <w:p>
      <w:pPr>
        <w:spacing w:after="0" w:line="225" w:lineRule="exact"/>
        <w:rPr>
          <w:rFonts w:ascii="Arial" w:cs="Arial" w:eastAsia="Arial" w:hAnsi="Arial"/>
          <w:sz w:val="18"/>
          <w:szCs w:val="18"/>
          <w:color w:val="auto"/>
        </w:rPr>
      </w:pPr>
    </w:p>
    <w:p>
      <w:pPr>
        <w:jc w:val="both"/>
        <w:ind w:left="2140" w:right="20" w:hanging="108"/>
        <w:spacing w:after="0" w:line="263" w:lineRule="auto"/>
        <w:tabs>
          <w:tab w:leader="none" w:pos="2196"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Disruption in the economic and financial conditions primarily from the impact of past terrorist attacks in the United States, threats of future attacks, police and military activities overseas and other disruptive worldwide political and economic events, health pandemics and environmental weather conditions.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also subject to other risks detailed from time to time in our other filings with Securities and Exchange Commission and elsewhere in this report. 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Policy and Estimates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Financial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preparation of these financial statements requires us to make estimates and judgments that affect the reported amounts of assets, liabilities, revenues and expenses, and related disclosure of contingent assets and liabilities. These estimates include certain assumptions related to doubtful accounts receivable, stock-based services, valuation of financial instruments, operating right of use assets and liabilities, and income taxes. On an on-going basis, we evaluate these estimates, including those related to revenue recognition and concentration of credit risk.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Accounts subject to estimate and judgements are accounts receivable reserves, income taxes, intangible assets, contingent liabilities, and equity based instruments. Actual results may differ from these estimates under different assumptions or conditions. We believe our estimates have not been materially inaccurate in past years, and our assumptions are not likely to change in the foreseeable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Doubtful Accounts Receivable</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maintained an allowance in the amount of $317,277 for doubtful accounts receivable at March 31, 2020, and $95,284 at December 31, 2019. The increase in the allowance was mainly due to the increased likelihood of certain uncollectible amounts associated with national brand management customers. The Company has an operational relationship of several years with our major customers, and we believe this experience provides us with a solid foundation from which to estimate our expected losses on accounts receivable. Should our sales mix change or if we develop new lines of business or new customers, these estimates and our estimation process will change accordingly. These estimates have been accurate in the past.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measures its financial assets and liabilities in accordance with accounting principles generally accepted in the United States of America. The estimated fair values approximate their carrying value because of the short-term maturity of these instruments or the stated interest rates are indicative of market interest rates. These fair values have historically varied due to the market price of the Company’s stock at the date of valuation.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uses the liability method of accounting for income taxes. Deferred tax assets and liabilities are recognized for the future tax consequences attributable to financial statements carrying amounts of existing assets and liabilities and their respective tax bases and operating loss and tax credit carry-forwards. The measurement of deferred tax assets and liabilities is based on provisions of applicable tax law. The measurement of deferred tax assets is reduced, if necessary, by a valuation allowance based on the amount of tax benefits that, based on available evidence, is not expected to be realized.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determines if an arrangement is a lease at inception. Operating lease right-of-use assets (“ROU assets”) and short-term and long-term lease liabilities are included on the face of the condensed consolidated balance sheet. Finance lease ROU assets are presented within other assets, and finance lease liabilities are presented within accrued liabilities.</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ROU assets represent the right to use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an incremental borrowing rate based on the information available at commencement date in determining the present value of lease payments. The operating lease ROU asset also excludes lease incentives.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are accounted for as a single lease component. For lease agreements with terms less than 12 months, the Company has elected the short-term lease measurement and recognition exemption, and it recognizes such lease payments on a straight-line basis over the lease term.</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were initially formed in June 1979 as Alpha Solarco Inc., a Colorado corporation. From June 1979 through February 2003, we were either inactive or involved in discontinued business ventures. We changed our name to Fiber Application Systems Technology, Ltd in February 2003. In January 2004, we changed our state of incorporation by merging into Innovative Food Holdings, Inc. (IVFH), a Florida corporation formed for that purpose. As a result of the merger, we changed our name to that of Innovative Food Holdings, Inc. In January 2004, we also acquired Food Innovations, Inc. (“FII” or “Food Innovations”), a Florida corporation, for 500,000 shares of our common stock.</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November 2, 2012, the Company entered into an asset purchase agreement (the “Haley Acquisition”) with The Haley Group, LLC whereby we acquired all existing assets of The Haley Group, LLC and its customers. The Haley Acquisition was valued at a total cost of $119,645. On June 30, 2014, pursuant to a purchase agreement, the Company purchased 100% of the membership interest of Organic Food Brokers, LLC, a Colorado limited liability company (“OFB”), for $300,000, 100,000 four year options at a price of $1.46 per share, and up to an additional $225,000 in earn-outs if certain milestones are met. Pursuant to an Asset Purchase Agreement dated as of January 1, 2017 the Company’s wholly-owned subsidiary, Oasis, purchased substantially all of the assets of Oasis Sales and Marketing, L.L.C. for $300,000 cash; a $200,000 structured equity instrument which can be paid in cash or shares of the Company stock at the Company’s option, anytime under certain conditions, or is automatically payable via the issuance of 200,000 shares if the Company’s shares close above $1.00 for ten consecutive days; a $100,000 note; and up to an additional $400,000 in earn-outs over two years if certain milestones are met. The Agreement also contains claw-back provisions if certain revenue conditions are not met.</w:t>
      </w:r>
    </w:p>
    <w:p>
      <w:pPr>
        <w:spacing w:after="0" w:line="16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Effective January 24, 2018, pursuant to an asset purchase agreement (the “igourmet Asset Purchase Agreement”), our wholly-owned subsidiary, Innovative Gourmet, acquired substantially all of the assets and certain liabilities of igourmet LLC and igourmet NY LLC, privately-held New York limited liability companies located in West Pittston, Pennsylvania and engaged in the sale, marketing, and distribution of specialty food and specialty food items through www.igourmet.com, online marketplaces, additional direct-to-consumer platforms, distribution to foodservice, retail stores and other wholesale accounts, pursuant to the terms of an Asset Purchase Agreement. The consideration for and in connection with the acquisition consisted of: (i) $1,500,000, which satisfied or reduced secured, priority and administrative debt of Sellers; (ii) in connection with and prior to the acquisition, our wholly-owned subsidiary, Food Funding, funded advances of $325,500 to Sellers on a secured basis, pursuant to certain loan documents and as bridge loans, which loans were reduced by the proceeds of the Asset Purchase Agreement; (iii) the purchase for $200,000 of certain debt owed by Sellers, to be paid out of, if available, Innovative Gourmet’s cash flow; (iv) potential contingent liability allocation for a percentage of Sellers’ approximately $2,300,000 of certain debt, not purchased or assumed by Innovative Gourmet, which under certain circumstances, Innovative Gourmet may determine to pay; and (v) additional purchase price consideration of (a) up to a maximum of $1,500,000, if EBITDA of Innovative Gourmet reaches $800,00 in 2018, (b) up to a maximum of $1,750,000, if EBITDA of Innovative Gourmet in 2019 exceeds its EBITDA in 2018 by at least 20% and if its EBITDA reaches $5,000,000; and (c) up to a maximum of $2,125,000, if EBITDA of Innovative Gourmet in 2020 exceeds its EBITDA in 2019 by at least 20% and if its EBITDA reaches $8,000,000. The EBITDA based earnout shall be paid 37.5% in cash, 25% in IVFH shares valued at the time of the closing of this transaction and 37.5%, at Innovative Gourmet’s option, in IVFH shares valued at the time of the payment of the earnout or in cash. The 2018 and 2019 earnout milestones were not met. In connection with the acquisition, our wholly-owned subsidiary, Food Funding, purchased Seller’s senior secured note at a price of approximately $1,187,000, pursuant to the terms of a Loan Sale Agreement with UPS Capital Business Credit. That note was reduced by the proceeds of the Asset Purchase Agreement. See Item (i) above.</w:t>
      </w:r>
    </w:p>
    <w:p>
      <w:pPr>
        <w:spacing w:after="0" w:line="19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Effective July 6, 2018, pursuant to an asset purchase agreement between Mouth Foods, Inc. and our wholly-owned subsidiary M Innovations (the “MFI APA”), the Company acquired certain assets of Mouth Foods, Inc. from MFI (assignment for the benefit of creditors), LLC, in connection with a Delaware assignment proceeding. The MFI APA was accounted for as an acquisition of an ongoing business where the Company was treated as the acquirer and the acquired assets and assumed liabilities were recorded by the Company at their preliminary estimated fair values. Mouth Foods, Inc., a privately held New York company operating out of Brooklyn, was an expert curator and online retailer of high quality specialty foods from small-batch makers in the US.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consideration for and in connection with the acquisition consisted of (i) closing related cash payments of $208,355; (ii) additional revenue-based contingent liabilities valued by management at $100,000 related to certain future sales of purchased assets payable under the following terms: payment of 5% of certain revenues, with no payments on the first $500,000 of revenues and no payments on revenues after June 30, 2020; (iii) additional revenue based contingent liabilities of up to $185,000 associated with the purchase of certain debt of the seller; and (iv) additional contingent liability consideration valued by management at approximately $20,000.</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Effective July 23, 2019, P Innovations acquired certain assets of GBC Sub, Inc. (d/b/a The GiftBox) (“GiftBox”) (the “GiftBox Asset Purchase Agreement”). GiftBox, a privately held Nevada corporation controlled by David Polinsky, a director of the Company, was in the business of subscription-based ecommerce. The consideration for the assets purchased was a nominal amount of cash. The GiftBox Asset Purchase Agreement also provides the sellers the option to acquire 30% of P Innovations subject to dilution for a period of thirty-six months following the date of the Giftbox Asset Purchase Agreement; the option will only be exercisable if there is a spinoff of P Innovations to Innovative Food Holdings shareholders. The Company is evaluating its preliminary purchase price allocation. As a result, during the preliminary purchase price allocation period, which may be up to one year from the asset purchase date, we may record adjustments to the assets acquired.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a Major Customer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Transactions with a major customer and related economic dependence information is set forth immediately below and above in Note 2 to the Condensed Consolidated Financial Statements and also in our Annual Report on Form 10-K for the year ended December 31, 2019 (1) following our discussion of Liquidity and Capital Resources, (2) Concentrations of Credit Risk in Note 17 to the Consolidated Financial Statements, and (3) as the fourth item under Risk Factors.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U.S. Foods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historically sold the majority of our products through a distributor relationship between FII and Next Day Gourmet, L.P., a subsidiary of U.S. Foods, a leading broadline distributor. These sales amounted to $7,383,578 (55% of total sales) and $7,541,296 (59% of total sales) for the three months ended March 31, 2020 and 2019 respectively On January 26, 2015 we executed a contract between Food Innovations, Inc., our wholly-owned subsidiary, and U.S. Foods, Inc. The term of the Agreement is from January 1, 2015 through December 31, 2016 and provides for a limited number of automatic annual renewals thereafter if no party gives the other 30 days’ notice of its intent not to renew. Based on the terms, the Agreement was extended through 2018. Effective January 1, 2018 the Agreement was further amended to remove the cap on renewals, and provide for an unlimited number of additional 12-month terms unless either party notifies the other in writing, 30 days prior to the end date, of its intent not to renew.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discussion may contain forward looking-statements that involve risks and uncertainties. Our future results could differ materially from the forward looking-statements discussed in this report. This discussion should be read in conjunction with our consolidated financial statements, the notes thereto and other financial information included elsewhere in the report.</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months ended March 31, 2020, the world has been in the grip of a coronavirus pandemic which has wreaked havoc on economies world-wide, including in the U.S., which is our primary market. As a result of the pandemic, restaurants, hotels, country clubs, casinos, catering houses and other of our primary customers have either been closed completely or are only partially open with significantly reduced operations. Accordingly, foodservice revenues, which historically have been a significant overall portion of our revenues, have been significantly reduced as most foodservice establishments across the United States closed or had limited operations. As a result, 2020 foodservice revenues, starting in the second half of March 2020 experienced unprecedented declines.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Conversely, we have experienced significant growth in our on-line e-commerce revenues as overall e-commerce grew as demand for food products continued across the United States. Accordingly, we have focused our resources on meeting the growth of e-commerce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2020 Compared to Three Months Ended March 31,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Revenue increased by $446,705 or approximately 3.5% to $13,305,920 for the three months ended March 31, 2020 from $12,859,215 in the prior year. The increase in revenues was attributable to an increase in revenues associated with ecommerce and logistics offset partially by a decrease in revenues associated with national brand management and foodservice.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continue to assess the potential of new revenue sources from the manufacture and sale of proprietary food products, private label products and additional sales channel opportunities in both the foodservice and consumer space and will implement a strategy which based on our analysis provides the most beneficial opportunity for growth.</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changes in the food distribution and specialty foods operating landscape that materially hinders our current ability and/or cost to deliver our products to our customers could potentially cause a material impact on our net revenue and gross margin and, therefore, our profitability and cash flows could be adversely affected.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Currently, a small portion of our revenues comes from imported products or international sales. Our current sales from such markets may be hampered and negatively impacted by any economic tariffs that may be imposed in the United States or in foreign countries.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See “Transactions with Major Customers” and the Securities and Exchange Commission’s (“SEC”) mandated FR-60 disclosures following the “Liquidity and Capital Resources” section for a further discussion of the significant customer concentrations, loss of significant customer, critical accounting policies and estimates, and other factors that could affect future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goods sold</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cost of goods sold for the three months ended March 31, 2020 was $10,192,864, an increase of $1,311,484 or approximately 14.8% compared to cost of goods sold of $8,881,380 for the three months ended March 31, 2019. Cost of goods sold is made up of the following expenses for the three months ended March 31, 2020: cost of goods of specialty, meat, game, cheese, seafood, poultry and other sales categories in the amount of $6,659,296; and shipping, delivery, handling, and purchase allowance expenses in the amount of $3,533,568. Total gross margin was approximately 23.4% of sales in 2020 compared to approximately 29.5% of sales in 2019. The increase in cost of goods sold and the decrease in gross margins from 2019 is primarily attributable to variation in product and revenue mix across our various selling channels including a decrease in higher gross margin revenues associated with National Brand Management and variations in both revenue mix and gross margins associated with foodservice revenues including revenue and margin variations driven by the COVID-19 pandemic.</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2020, we continued to price our products in order to increase sales, gain market share and increase the number of our end users and ecommerce customers. We were successful in both increasing sales and increasing market share and increasing the number of our ecommerce customers. We currently expect, if market conditions, overall economic conditions, and our product revenue mix remain constant, that our cost of goods sold may increase and may result in a decrease in profit margin.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goodwill and intangible assets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March 31, 2020, the Company performed impairment tests of our goodwill and intangible assets that incorporated the use of a discounted cash flow model that involves many management assumptions that are based upon future growth projections which include estimates of COVID-19’s impact on our business. Assumptions include estimates of future revenues, growth rates which take into account estimated inflation rates, estimates of future levels of gross profit and operating profit, projected capital expenditures and discount rates based upon industry and competitor analyses. As a result of impairment tests, the Company was required by applicable accounting rules to record an impairment of goodwill and intangible assets in the aggregate amount of $1,698,952. At March 31, 2020, the net carrying value of goodwill and other intangible assets on the Company’s balance sheet is $1,616,822. There was no such comparable charge during the prior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Selling, general, and administrative expenses increased by $823,764 or approximately 21.7% to $4,612,761 during the three months ended March 31, 2020 compared to $3,788,997 for the three months ended March 31, 2019. The increase in selling, general, and administrative expenses was primarily due to an increase in uncollectible debt allowance of $221,189, increases in advertising in the amount of $131,767, increases in payroll and related costs of approximately $163,319, increases in professional and legal fees in the amount of $113,447, increases in computer and information technology costs of $85,973, increases in office and facility costs of $30,755, increased insurance costs of $52,266, increased banking costs and processing fees of $39,124, and increases in depreciation and amortization expense of $19,360. These increases were partially offset by a decrease in travel and entertainment costs of $39,047. The increases were driven mainly by additional costs including increases in costs associated with COVID-19, increased costs associated with additional personnel, accrued bonuses, overall employee costs and insurance costs, increased legal, accounting, facility and IT costs including costs associated with the planned launch of new websites, and increased advertising associated with increased spending in digital marketing.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net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Interest expense, net of interest income, increased by $40,942 or approximately 160.7% to $66,420 during the three months ended March 31, 2020, compared to $25,478 during the three months ended March 31, 2019. Interest accrued or paid on the Company’s commercial loans and notes payable increased by $37,999 to $64,995 during the current period, compared to $26,996 during the prior period, primarily due to interest on the Company’s mortgage on the logistics and warehouse facility in Mountaintop, Pennsylvania, which was $41,487 during the three months ended March 31, 2020 compared to $0 during the prior period. Interest expense also increased by the amortization of the discount on notes payable, which was $3,123 during the current period, compared to $0 during the comparable period of 2019. Interest income increased by $180 to $1,698 during the current period compared to $1,518 during the prior period.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 income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reasons above, the Company had a net loss for the three months ended March 31, 2020 of $(3,254,198) which is a loss of approximately $3,417,558 or 2,092% compared to net income of $163,360 during the three months ended March 31, 2019. The loss for the three months ended March 31, 2020 includes a total of $2,316,016 in non-cash charges, including impairment of intangible assets in the amount of $1,698,952, uncollectible debt allowance of $223,335, amortization of intangible assets in the amount of $210,032, depreciation expense of $114,533, charges for non-cash compensation in the amount of $66,041, and amortization of the discount on notes payable of $3,123. The income for the three months ended March 31, 2019 includes a total of $405,349 in non-cash charges, including amortization of intangible assets in the amount of $229,130, depreciation expense of $76,075, and non-cash compensation of $100,144.</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at March 31, 2020</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March 31, 2020, the Company had current assets of $10,191,633, consisting of cash and cash equivalents of $5,071,543; trade accounts receivable of $1,860,038; inventory of $2,941,435; and other current assets of $318,617. Also at March 31, 2020, the Company had current liabilities of $7,328,231, consisting of trade payables and accrued liabilities of $3,828,998; accrued interest of $20,552; deferred revenue of $358,456; line of credit of $2,000,000; lease liabilities – operating leases, current portion of $134,459; lease liabilities – financing leases, current portion of $47,261; and current portion of notes payable of $751,505.</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months ended March 31, 2020, the Company had cash used in operating activities of $693,165. Cash used in operations consisted of the Company’s consolidated net loss of $3,254,198 plus non-cash compensation in the amount of $66,041; depreciation and amortization of $324,565; impairment of goodwill and intangible assets of $1,698,952; amortization of right-of-use asset of $49,949, amortization of prepaid loan fees of $3,123 and provision for doubtful accounts of $223,335. The Company’s cash position also increased due to a change in the components of current assets and liabilities in the amount of $195,068.</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cash used in investing activities of $285,599 for the three months ended March 31, 2020, which consisted of cash paid for the acquisition of property and equipment.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had cash flow from financing activities of $2,084,257 for the three months ended March 31, 2020, which consisted of advances on a line of credit in the amount of $2,000,000 and proceeds from notes payable in the amount of $150,786, partially offset by principal payments made on notes payable of $57,775 and principal payments on financing leases of $8,754.</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had net working capital of $2,863,402 as of March 31, 2020. The Company used cash in operations during the three months ended March 31, 2020 in the amount of $693,165. This compares to cash used in operations of $1,315,513 during the three months ended March 31, 2019. The Company intends to continue to focus on increasing market share and cash flow from operations by focusing its sales activities on specific market segments and new product lines. As of March 31, 2020, we do not have any material long-term obligations other than those described in Notes 12, 13, and 14 to the financial statements included in this report. As we seek to increase our sales of new items and enter new markets, acquire new businesses as well as identify new and other consumer and food service oriented products and services, we may use existing cash reserves, long-term financing, or other means to finance such diversification.</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Company’s cash flow from operations is insufficient to fully implement its business plan, the Company may require additional financing in order to execute its operating plan. The Company cannot predict whether this additional financing will be in the form of equity or debt, or be in another form. The Company may not be able to obtain the necessary additional capital on a timely basis, on acceptable terms, or at all.</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any of these events, the Company may be unable to implement its current plans for expansion, repay its debt obligations as they become due or respond to competitive pressures, any of which circumstances would have a material adverse effect on its business, prospects, financial condition and results of operations.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Plans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2020, in addition to our efforts to increase sales in our existing foodservice operations we plan to attempt to expand our business by expanding our focus to additional specialty foods markets in both the consumer and foodservice sector, exploring potential acquisition and partnership opportunities and continuing to extend our focus in the specialty food market through the growth of the Company’s existing sales channels and through a variety of additional sales channel relationships which are currently being explored. In addition, we are currently exploring the introduction of a variety of new product categories and new product lines, including private label products and proprietary branded products to leverage our existing foodservice and consumer customer base.</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Furthermore, the Company intends to expand its activities in the direct to consumer space and the overall consumer packaged goods (CPG) space through building the market share of igourmet LLC and Mouth Foods, Inc. and through leveraging its overall capabilities in the consumer space.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No assurances can be given that any of these plans will come to fruition or that if implemented that they will necessarily yield positive results.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the opinion of management, inflation has not had a material effect on the Company’s financial condition or results of its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Company’s business and success is subject to numerous risk factors as detailed in its Annual Report on Form 10-K for the year ended December 31, 2019 which is available at no cost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by us in the reports that we file or submit pursuant to the requirements of the Securities Exchange Act of 1934 is recorded, processed, summarized and reported, within the time periods specified in the Securities and Exchange Commission’s rules and forms. Disclosure controls and procedures include, among other things, controls and procedures designed to ensure that information required to be disclosed by us in the reports that we file under the Exchange Act is accumulated and communicated to our management, including our principal executive and financial officers, as appropriate, to allow timely decisions regarding required disclosure.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 Evaluation of disclosure controls and procedures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Principal Executive Officer and Principal Financial Officer, after evaluating the effectiveness of our disclosure controls and procedures (as defined as defined in Rule 13a-15(f) and 15d-(f) under the Exchange Act.) as of the end of the period covered by this Quarterly Report, have identified a control deficiency regarding the integration of two acquisitions in 2018 and as a result management has concluded our internal control over financial reporting was ineffective at March 31, 2020 at the reasonable assurance level. Management of the Company believes that this deficiency is primarily due to the smaller size of the company’s accounting staff in relation to certain continued system integrations related to the 2018 acquisitions of certain assets of igourmet LLC and Mouth Foods, Inc. To address this matter, we have expanded our accounting staff and we expect to retain additional qualified personnel to continue to remediate this control deficiency in the future. In making this assessment, our management used the criteria set forth by the Committee of Sponsoring Organizations of the Treadway Commission (“COSO”) in Internal Control-Integrated Framework (2013).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Exchange Act Rules 13a-15(d) and 15d-15 that occurred during the period covered by this Quarterly Report that has materially affected, or is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September 16, 2019, an action (the “PA Action”) was filed in the Court of Common Pleas of Philadelphia County, Trial Division, against, among others, the Company and its wholly-owned subsidiaries, Innovative Gourmet LLC and Food Innovations, Inc. The complaint in the PA Action alleges, inter alia, wrongful death and negligence by a driver employed by Innovative Gourmet and indicates a demand and offer to settle for fifty million dollars. We expect that should a settlement occur the amount would be substantially lower. The Company and its subsidiaries had auto and umbrella insurance policies, among others, that were in effect for the relevant period. While the initial response from the relevant insurance companies has been to provide coverage only under an auto policy, which has been fully offered, we intend to further aggressively pursue the Company’s and its subsidiaries’ insurance coverage under their umbrella and other available policies. In addition, the Company has been defending this action and believes that the likely outcome would result in any liabilities being covered by its insurance carriers. However, if the Company was found responsible for damages in excess of its available insurance coverage, such damages in excess of the coverage could have a material adverse effect on the Company’s operations.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the Company has become and may become involved in certain lawsuits and legal proceedings which arise in the ordinary course of business, or as the result of current or previous investments, or current or previous subsidiaries, or current or previous employees, or current or previous directors, or as a result of acquisitions and dispositions or other corporate activities. The Company intends to vigorously defend its positions. However, litigation is subject to inherent uncertainties, and an adverse result in these or other matters may arise from time to time that may harm our financial position or our business and the outcome of these matters cannot be ultimately predicted.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10, 2020, the Company issued 2,381 shares of common stock with a fair value of $0.47 to a service provider; the fair value of $1,119 was charged to operations during the three months ended March 31, 2020.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29, 2020, the Company issued 38,943 shares of common stock with a fair value of $0.54 to an employee; the fair value of $17,135 was charged to operations during the three months ended March 31, 2020.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3, 2020, the Company issued 2,381 shares of common stock with a fair value of $0.49 to a service provider; the fair value of $1,167 was charged to operations during the three months ended March 31, 2020.</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All of the issuances described above were exempt from registration pursuant to Section 4(2) of the Securities Act of 1933 for the following reasons: (1) none of the issuances involved a public offering or public advertising for the payment of any commissions or fees; (2) the issuances to investors were to “accredited investors”; (3) the issuances upon conversion of notes were for notes held at least 12 months and did not involve the payment of any other consideration; and (4) all issuances to affiliates and to non-affiliates holding the securities for less than six months carried restrictive legends.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3.1</w:t>
            </w:r>
          </w:p>
        </w:tc>
        <w:tc>
          <w:tcPr>
            <w:tcW w:w="10200" w:type="dxa"/>
            <w:vAlign w:val="bottom"/>
            <w:gridSpan w:val="4"/>
          </w:tcPr>
          <w:p>
            <w:pPr>
              <w:spacing w:after="0"/>
              <w:rPr>
                <w:rFonts w:ascii="Arial" w:cs="Arial" w:eastAsia="Arial" w:hAnsi="Arial"/>
                <w:sz w:val="18"/>
                <w:szCs w:val="18"/>
                <w:color w:val="0000EE"/>
                <w:w w:val="96"/>
              </w:rPr>
            </w:pPr>
            <w:hyperlink r:id="rId66">
              <w:r>
                <w:rPr>
                  <w:rFonts w:ascii="Arial" w:cs="Arial" w:eastAsia="Arial" w:hAnsi="Arial"/>
                  <w:sz w:val="18"/>
                  <w:szCs w:val="18"/>
                  <w:color w:val="0000EE"/>
                  <w:w w:val="96"/>
                </w:rPr>
                <w:t>Articles of Incorporation (incorporated by reference to exhibit 3.1 of the Company’s annual report on Form 10-KSB for the year ended</w:t>
              </w:r>
            </w:hyperlink>
          </w:p>
        </w:tc>
      </w:tr>
      <w:tr>
        <w:trPr>
          <w:trHeight w:val="196"/>
        </w:trPr>
        <w:tc>
          <w:tcPr>
            <w:tcW w:w="1040" w:type="dxa"/>
            <w:vAlign w:val="bottom"/>
          </w:tcPr>
          <w:p>
            <w:pPr>
              <w:spacing w:after="0"/>
              <w:rPr>
                <w:sz w:val="17"/>
                <w:szCs w:val="17"/>
                <w:color w:val="auto"/>
              </w:rPr>
            </w:pPr>
          </w:p>
        </w:tc>
        <w:tc>
          <w:tcPr>
            <w:tcW w:w="70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66">
              <w:r>
                <w:rPr>
                  <w:rFonts w:ascii="Arial" w:cs="Arial" w:eastAsia="Arial" w:hAnsi="Arial"/>
                  <w:sz w:val="18"/>
                  <w:szCs w:val="18"/>
                  <w:color w:val="0000EE"/>
                  <w:w w:val="90"/>
                </w:rPr>
                <w:t>December 31, 2004 filed with the Securities and Exchange Commission on September 28, 2005).</w:t>
              </w:r>
            </w:hyperlink>
          </w:p>
        </w:tc>
        <w:tc>
          <w:tcPr>
            <w:tcW w:w="31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3.2</w:t>
            </w:r>
          </w:p>
        </w:tc>
        <w:tc>
          <w:tcPr>
            <w:tcW w:w="10200" w:type="dxa"/>
            <w:vAlign w:val="bottom"/>
            <w:tcBorders>
              <w:bottom w:val="single" w:sz="8" w:color="0000EE"/>
            </w:tcBorders>
            <w:gridSpan w:val="4"/>
          </w:tcPr>
          <w:p>
            <w:pPr>
              <w:spacing w:after="0"/>
              <w:rPr>
                <w:rFonts w:ascii="Arial" w:cs="Arial" w:eastAsia="Arial" w:hAnsi="Arial"/>
                <w:sz w:val="18"/>
                <w:szCs w:val="18"/>
                <w:color w:val="0000EE"/>
                <w:w w:val="93"/>
              </w:rPr>
            </w:pPr>
            <w:hyperlink r:id="rId67">
              <w:r>
                <w:rPr>
                  <w:rFonts w:ascii="Arial" w:cs="Arial" w:eastAsia="Arial" w:hAnsi="Arial"/>
                  <w:sz w:val="18"/>
                  <w:szCs w:val="18"/>
                  <w:color w:val="0000EE"/>
                  <w:w w:val="93"/>
                </w:rPr>
                <w:t>Amended Bylaws of the Company (incorporated by reference to exhibit 3.2 of the Company’s annual report Form 10-K for the year ended</w:t>
              </w:r>
            </w:hyperlink>
          </w:p>
        </w:tc>
      </w:tr>
      <w:tr>
        <w:trPr>
          <w:trHeight w:val="196"/>
        </w:trPr>
        <w:tc>
          <w:tcPr>
            <w:tcW w:w="1040" w:type="dxa"/>
            <w:vAlign w:val="bottom"/>
          </w:tcPr>
          <w:p>
            <w:pPr>
              <w:spacing w:after="0"/>
              <w:rPr>
                <w:sz w:val="17"/>
                <w:szCs w:val="17"/>
                <w:color w:val="auto"/>
              </w:rPr>
            </w:pPr>
          </w:p>
        </w:tc>
        <w:tc>
          <w:tcPr>
            <w:tcW w:w="10200" w:type="dxa"/>
            <w:vAlign w:val="bottom"/>
            <w:gridSpan w:val="4"/>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December 31, 2010 filed with the Securities and Exchange Commission on March 16, 2011).</w:t>
              </w:r>
            </w:hyperlink>
          </w:p>
        </w:tc>
      </w:tr>
      <w:tr>
        <w:trPr>
          <w:trHeight w:val="453"/>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6700" w:type="dxa"/>
            <w:vAlign w:val="bottom"/>
            <w:tcBorders>
              <w:top w:val="single" w:sz="8" w:color="0000EE"/>
            </w:tcBorders>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Section 302 Certification</w:t>
              </w:r>
            </w:hyperlink>
          </w:p>
        </w:tc>
        <w:tc>
          <w:tcPr>
            <w:tcW w:w="3500" w:type="dxa"/>
            <w:vAlign w:val="bottom"/>
            <w:gridSpan w:val="3"/>
          </w:tcPr>
          <w:p>
            <w:pPr>
              <w:spacing w:after="0"/>
              <w:rPr>
                <w:sz w:val="24"/>
                <w:szCs w:val="24"/>
                <w:color w:val="auto"/>
              </w:rPr>
            </w:pP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10200" w:type="dxa"/>
            <w:vAlign w:val="bottom"/>
            <w:gridSpan w:val="4"/>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Section 302 Certification</w:t>
              </w:r>
            </w:hyperlink>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10200" w:type="dxa"/>
            <w:vAlign w:val="bottom"/>
            <w:gridSpan w:val="4"/>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Section 906 Certification</w:t>
              </w:r>
            </w:hyperlink>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32.2</w:t>
            </w:r>
          </w:p>
        </w:tc>
        <w:tc>
          <w:tcPr>
            <w:tcW w:w="10200" w:type="dxa"/>
            <w:vAlign w:val="bottom"/>
            <w:gridSpan w:val="4"/>
          </w:tcPr>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Section 906 Certification</w:t>
              </w:r>
            </w:hyperlink>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1020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10200" w:type="dxa"/>
            <w:vAlign w:val="bottom"/>
            <w:gridSpan w:val="4"/>
          </w:tcPr>
          <w:p>
            <w:pPr>
              <w:spacing w:after="0"/>
              <w:rPr>
                <w:sz w:val="20"/>
                <w:szCs w:val="20"/>
                <w:color w:val="auto"/>
              </w:rPr>
            </w:pPr>
            <w:r>
              <w:rPr>
                <w:rFonts w:ascii="Arial" w:cs="Arial" w:eastAsia="Arial" w:hAnsi="Arial"/>
                <w:sz w:val="18"/>
                <w:szCs w:val="18"/>
                <w:color w:val="auto"/>
              </w:rPr>
              <w:t>XBRL Taxonomy Extension Schema</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1020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1020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1020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1020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w:t>
            </w:r>
          </w:p>
        </w:tc>
      </w:tr>
      <w:tr>
        <w:trPr>
          <w:trHeight w:val="648"/>
        </w:trPr>
        <w:tc>
          <w:tcPr>
            <w:tcW w:w="1040" w:type="dxa"/>
            <w:vAlign w:val="bottom"/>
          </w:tcPr>
          <w:p>
            <w:pPr>
              <w:spacing w:after="0"/>
              <w:rPr>
                <w:sz w:val="24"/>
                <w:szCs w:val="24"/>
                <w:color w:val="auto"/>
              </w:rPr>
            </w:pPr>
          </w:p>
        </w:tc>
        <w:tc>
          <w:tcPr>
            <w:tcW w:w="6700" w:type="dxa"/>
            <w:vAlign w:val="bottom"/>
          </w:tcPr>
          <w:p>
            <w:pPr>
              <w:ind w:left="4500"/>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40" w:type="dxa"/>
            <w:vAlign w:val="bottom"/>
            <w:tcBorders>
              <w:bottom w:val="single" w:sz="8" w:color="auto"/>
            </w:tcBorders>
          </w:tcPr>
          <w:p>
            <w:pPr>
              <w:spacing w:after="0"/>
              <w:rPr>
                <w:sz w:val="10"/>
                <w:szCs w:val="10"/>
                <w:color w:val="auto"/>
              </w:rPr>
            </w:pPr>
          </w:p>
        </w:tc>
        <w:tc>
          <w:tcPr>
            <w:tcW w:w="67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920" w:type="dxa"/>
            <w:vAlign w:val="bottom"/>
          </w:tcPr>
          <w:p>
            <w:pPr>
              <w:spacing w:after="0"/>
              <w:rPr>
                <w:sz w:val="20"/>
                <w:szCs w:val="20"/>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c>
          <w:tcPr>
            <w:tcW w:w="940" w:type="dxa"/>
            <w:vAlign w:val="bottom"/>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w:t>
            </w:r>
          </w:p>
        </w:tc>
      </w:tr>
      <w:tr>
        <w:trPr>
          <w:trHeight w:val="425"/>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 Klepfish</w:t>
            </w:r>
          </w:p>
        </w:tc>
        <w:tc>
          <w:tcPr>
            <w:tcW w:w="4460" w:type="dxa"/>
            <w:vAlign w:val="bottom"/>
            <w:gridSpan w:val="2"/>
          </w:tcPr>
          <w:p>
            <w:pPr>
              <w:ind w:left="920"/>
              <w:spacing w:after="0"/>
              <w:rPr>
                <w:sz w:val="20"/>
                <w:szCs w:val="20"/>
                <w:color w:val="auto"/>
              </w:rPr>
            </w:pPr>
            <w:r>
              <w:rPr>
                <w:rFonts w:ascii="Arial" w:cs="Arial" w:eastAsia="Arial" w:hAnsi="Arial"/>
                <w:sz w:val="18"/>
                <w:szCs w:val="18"/>
                <w:color w:val="auto"/>
              </w:rPr>
              <w:t>Chief Executive Officer</w:t>
            </w:r>
          </w:p>
        </w:tc>
        <w:tc>
          <w:tcPr>
            <w:tcW w:w="94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July 6, 2020</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Sam Klepfish</w:t>
            </w:r>
          </w:p>
        </w:tc>
        <w:tc>
          <w:tcPr>
            <w:tcW w:w="9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1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McDonald</w:t>
            </w:r>
          </w:p>
        </w:tc>
        <w:tc>
          <w:tcPr>
            <w:tcW w:w="4460" w:type="dxa"/>
            <w:vAlign w:val="bottom"/>
            <w:gridSpan w:val="2"/>
          </w:tcPr>
          <w:p>
            <w:pPr>
              <w:ind w:left="920"/>
              <w:spacing w:after="0"/>
              <w:rPr>
                <w:sz w:val="20"/>
                <w:szCs w:val="20"/>
                <w:color w:val="auto"/>
              </w:rPr>
            </w:pPr>
            <w:r>
              <w:rPr>
                <w:rFonts w:ascii="Arial" w:cs="Arial" w:eastAsia="Arial" w:hAnsi="Arial"/>
                <w:sz w:val="18"/>
                <w:szCs w:val="18"/>
                <w:color w:val="auto"/>
              </w:rPr>
              <w:t>Principal Accounting Officer</w:t>
            </w:r>
          </w:p>
        </w:tc>
        <w:tc>
          <w:tcPr>
            <w:tcW w:w="94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July 6, 2020</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John McDonald</w:t>
            </w:r>
          </w:p>
        </w:tc>
        <w:tc>
          <w:tcPr>
            <w:tcW w:w="9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1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Sam Klepfish, certify that:</w:t>
      </w:r>
    </w:p>
    <w:p>
      <w:pPr>
        <w:spacing w:after="0" w:line="211"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Innovative Food Holdings,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8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84" w:lineRule="exact"/>
        <w:rPr>
          <w:sz w:val="20"/>
          <w:szCs w:val="20"/>
          <w:color w:val="auto"/>
        </w:rPr>
      </w:pPr>
    </w:p>
    <w:p>
      <w:pPr>
        <w:jc w:val="both"/>
        <w:ind w:firstLine="8"/>
        <w:spacing w:after="0" w:line="263" w:lineRule="auto"/>
        <w:tabs>
          <w:tab w:leader="none" w:pos="18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8"/>
        <w:spacing w:after="0" w:line="277" w:lineRule="auto"/>
        <w:tabs>
          <w:tab w:leader="none" w:pos="1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3" w:lineRule="auto"/>
        <w:tabs>
          <w:tab w:leader="none" w:pos="2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8"/>
        <w:spacing w:after="0" w:line="308" w:lineRule="auto"/>
        <w:tabs>
          <w:tab w:leader="none" w:pos="2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20" w:firstLine="8"/>
        <w:spacing w:after="0" w:line="277" w:lineRule="auto"/>
        <w:tabs>
          <w:tab w:leader="none" w:pos="2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11"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July 6,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Sam Klepfish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7329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17329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Sam Klepfish, Chief Executive Officer</w:t>
      </w:r>
    </w:p>
    <w:p>
      <w:pPr>
        <w:sectPr>
          <w:pgSz w:w="11900" w:h="16838" w:orient="portrait"/>
          <w:cols w:equalWidth="0" w:num="1">
            <w:col w:w="11240"/>
          </w:cols>
          <w:pgMar w:left="320" w:top="33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McDonald, certify that:</w:t>
      </w:r>
    </w:p>
    <w:p>
      <w:pPr>
        <w:spacing w:after="0" w:line="225"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Innovative Food Holdings,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8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84" w:lineRule="exact"/>
        <w:rPr>
          <w:sz w:val="20"/>
          <w:szCs w:val="20"/>
          <w:color w:val="auto"/>
        </w:rPr>
      </w:pPr>
    </w:p>
    <w:p>
      <w:pPr>
        <w:jc w:val="both"/>
        <w:ind w:firstLine="8"/>
        <w:spacing w:after="0" w:line="263" w:lineRule="auto"/>
        <w:tabs>
          <w:tab w:leader="none" w:pos="18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8"/>
        <w:spacing w:after="0" w:line="277" w:lineRule="auto"/>
        <w:tabs>
          <w:tab w:leader="none" w:pos="192"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3" w:lineRule="auto"/>
        <w:tabs>
          <w:tab w:leader="none" w:pos="2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8"/>
        <w:spacing w:after="0" w:line="308" w:lineRule="auto"/>
        <w:tabs>
          <w:tab w:leader="none" w:pos="2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20" w:firstLine="8"/>
        <w:spacing w:after="0" w:line="277" w:lineRule="auto"/>
        <w:tabs>
          <w:tab w:leader="none" w:pos="2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6,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John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2117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John McDonald, Principle Accounting Officer</w:t>
      </w:r>
    </w:p>
    <w:p>
      <w:pPr>
        <w:sectPr>
          <w:pgSz w:w="11900" w:h="16838" w:orient="portrait"/>
          <w:cols w:equalWidth="0" w:num="1">
            <w:col w:w="11240"/>
          </w:cols>
          <w:pgMar w:left="320" w:top="33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 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Innovative Food Holdings, Inc. and Subsidiaries (the “Company”) on Form 10-Q for the period ended March 31, 2020 as filed with the Securities and Exchange Commission on the date hereof (the “Report”), I, Sam Klepfish, Chief Executive Officer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Sam Klepfish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472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18472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Sam Klepfish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July 6, 2020</w:t>
      </w:r>
    </w:p>
    <w:p>
      <w:pPr>
        <w:sectPr>
          <w:pgSz w:w="11900" w:h="16838" w:orient="portrait"/>
          <w:cols w:equalWidth="0" w:num="1">
            <w:col w:w="11240"/>
          </w:cols>
          <w:pgMar w:left="320" w:top="33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 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Innovative Food Holdings, Inc. and Subsidiaries (the “Company”) on Form 10-Q for the period ended March 31, 2020 as filed with the Securities and Exchange Commission on the date hereof (the “Report”), I, John McDonald, Principal Financial Officer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John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2693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John McDonald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July 6, 2020</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decimal"/>
      <w:start w:val="5"/>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decimal"/>
      <w:start w:val="5"/>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66" Type="http://schemas.openxmlformats.org/officeDocument/2006/relationships/hyperlink" Target="http://www.sec.gov/Archives/edgar/data/312257/000114420405030172/v025859_ex3-1.htm" TargetMode="External"/><Relationship Id="rId67" Type="http://schemas.openxmlformats.org/officeDocument/2006/relationships/hyperlink" Target="http://www.sec.gov/Archives/edgar/data/312257/000118518511000325/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2020-07-06T15:49:47Z</dcterms:created>
  <dcterms:modified xsi:type="dcterms:W3CDTF">2020-07-06T15:49:47Z</dcterms:modified>
</cp:coreProperties>
</file>