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left="3520" w:right="580" w:hanging="2930"/>
        <w:spacing w:after="0" w:line="479" w:lineRule="auto"/>
        <w:tabs>
          <w:tab w:leader="none" w:pos="80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AND EXCHANGE ACT OF 1934 For the quarterly period ended September 30, 2024</w:t>
      </w:r>
    </w:p>
    <w:p>
      <w:pPr>
        <w:spacing w:after="0" w:line="37" w:lineRule="exact"/>
        <w:rPr>
          <w:rFonts w:ascii="MS PGothic" w:cs="MS PGothic" w:eastAsia="MS PGothic" w:hAnsi="MS PGothic"/>
          <w:sz w:val="18"/>
          <w:szCs w:val="18"/>
          <w:color w:val="auto"/>
          <w:highlight w:val="black"/>
        </w:rPr>
      </w:pPr>
    </w:p>
    <w:p>
      <w:pPr>
        <w:ind w:left="1580" w:hanging="211"/>
        <w:spacing w:after="0"/>
        <w:tabs>
          <w:tab w:leader="none" w:pos="158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EXCHANGE ACT OF 1934</w:t>
      </w:r>
    </w:p>
    <w:p>
      <w:pPr>
        <w:spacing w:after="0" w:line="216" w:lineRule="exact"/>
        <w:rPr>
          <w:sz w:val="24"/>
          <w:szCs w:val="24"/>
          <w:color w:val="auto"/>
        </w:rPr>
      </w:pPr>
    </w:p>
    <w:tbl>
      <w:tblPr>
        <w:tblLayout w:type="fixed"/>
        <w:tblInd w:w="30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1080" w:type="dxa"/>
            <w:vAlign w:val="bottom"/>
            <w:tcBorders>
              <w:bottom w:val="single" w:sz="8" w:color="auto"/>
            </w:tcBorders>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2"/>
        </w:trPr>
        <w:tc>
          <w:tcPr>
            <w:tcW w:w="4760" w:type="dxa"/>
            <w:vAlign w:val="bottom"/>
            <w:gridSpan w:val="6"/>
          </w:tcPr>
          <w:p>
            <w:pPr>
              <w:ind w:left="1000"/>
              <w:spacing w:after="0"/>
              <w:rPr>
                <w:sz w:val="20"/>
                <w:szCs w:val="20"/>
                <w:color w:val="auto"/>
              </w:rPr>
            </w:pPr>
            <w:r>
              <w:rPr>
                <w:rFonts w:ascii="Times New Roman" w:cs="Times New Roman" w:eastAsia="Times New Roman" w:hAnsi="Times New Roman"/>
                <w:sz w:val="18"/>
                <w:szCs w:val="18"/>
                <w:b w:val="1"/>
                <w:bCs w:val="1"/>
                <w:color w:val="auto"/>
              </w:rPr>
              <w:t>Commission File Number: 000-09376</w:t>
            </w:r>
          </w:p>
        </w:tc>
        <w:tc>
          <w:tcPr>
            <w:tcW w:w="10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2804795</wp:posOffset>
            </wp:positionH>
            <wp:positionV relativeFrom="paragraph">
              <wp:posOffset>17145</wp:posOffset>
            </wp:positionV>
            <wp:extent cx="1354455" cy="677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INNOVATIVE FOOD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52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44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20-1167761</w:t>
            </w:r>
          </w:p>
        </w:tc>
      </w:tr>
      <w:tr>
        <w:trPr>
          <w:trHeight w:val="20"/>
        </w:trPr>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43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80" w:type="dxa"/>
            <w:vAlign w:val="bottom"/>
            <w:gridSpan w:val="5"/>
          </w:tcPr>
          <w:p>
            <w:pPr>
              <w:jc w:val="center"/>
              <w:ind w:left="19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4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9696 Bonita Beach Rd., Ste. 208, Bonita Springs, Florida</w:t>
            </w:r>
          </w:p>
        </w:tc>
        <w:tc>
          <w:tcPr>
            <w:tcW w:w="3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34135</w:t>
            </w:r>
          </w:p>
        </w:tc>
        <w:tc>
          <w:tcPr>
            <w:tcW w:w="8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340" w:type="dxa"/>
            <w:vAlign w:val="bottom"/>
            <w:gridSpan w:val="3"/>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spacing w:after="0"/>
              <w:rPr>
                <w:sz w:val="20"/>
                <w:szCs w:val="20"/>
                <w:color w:val="auto"/>
              </w:rPr>
            </w:pPr>
          </w:p>
        </w:tc>
        <w:tc>
          <w:tcPr>
            <w:tcW w:w="166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(239) 596-0204</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146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60" w:type="dxa"/>
            <w:vAlign w:val="bottom"/>
          </w:tcPr>
          <w:p>
            <w:pPr>
              <w:spacing w:after="0"/>
              <w:rPr>
                <w:sz w:val="20"/>
                <w:szCs w:val="20"/>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spacing w:after="0"/>
              <w:rPr>
                <w:sz w:val="20"/>
                <w:szCs w:val="20"/>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60" w:type="dxa"/>
            <w:vAlign w:val="bottom"/>
          </w:tcPr>
          <w:p>
            <w:pPr>
              <w:spacing w:after="0"/>
              <w:rPr>
                <w:sz w:val="20"/>
                <w:szCs w:val="20"/>
                <w:color w:val="auto"/>
              </w:rPr>
            </w:pPr>
          </w:p>
        </w:tc>
      </w:tr>
      <w:tr>
        <w:trPr>
          <w:trHeight w:val="533"/>
        </w:trPr>
        <w:tc>
          <w:tcPr>
            <w:tcW w:w="1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371" w:right="479" w:bottom="1440" w:gutter="0" w:footer="0" w:header="0"/>
        </w:sectPr>
      </w:pPr>
    </w:p>
    <w:bookmarkStart w:id="1" w:name="page2"/>
    <w:bookmarkEnd w:id="1"/>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80"/>
          </w:cols>
          <w:pgMar w:left="460" w:top="553" w:right="459" w:bottom="1440" w:gutter="0" w:footer="0" w:header="0"/>
        </w:sectPr>
      </w:pP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5" w:lineRule="exact"/>
        <w:rPr>
          <w:sz w:val="20"/>
          <w:szCs w:val="20"/>
          <w:color w:val="auto"/>
        </w:rPr>
      </w:pPr>
    </w:p>
    <w:p>
      <w:pPr>
        <w:sectPr>
          <w:pgSz w:w="11900" w:h="16838" w:orient="portrait"/>
          <w:cols w:equalWidth="0" w:num="2">
            <w:col w:w="4740" w:space="720"/>
            <w:col w:w="5520"/>
          </w:cols>
          <w:pgMar w:left="460" w:top="553" w:right="459" w:bottom="1440" w:gutter="0" w:footer="0" w:header="0"/>
          <w:type w:val="continuous"/>
        </w:sectPr>
      </w:pPr>
    </w:p>
    <w:p>
      <w:pPr>
        <w:spacing w:after="0" w:line="17"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Regulation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51,133,485 shares of common stock outstanding as of 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553" w:right="4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gridSpan w:val="5"/>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INNOVATIVE FOOD HOLDINGS, INC.</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960" w:type="dxa"/>
            <w:vAlign w:val="bottom"/>
            <w:gridSpan w:val="5"/>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TABLE OF CONTENTS TO FORM 10-Q</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9"/>
        </w:trPr>
        <w:tc>
          <w:tcPr>
            <w:tcW w:w="10580" w:type="dxa"/>
            <w:vAlign w:val="bottom"/>
            <w:gridSpan w:val="16"/>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9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700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Stockholders’ Equity</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4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36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Notes to the Consolidated Financial Statements</w:t>
            </w:r>
          </w:p>
        </w:tc>
        <w:tc>
          <w:tcPr>
            <w:tcW w:w="556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480" w:type="dxa"/>
            <w:vAlign w:val="bottom"/>
            <w:tcBorders>
              <w:left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4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5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60" w:type="dxa"/>
            <w:vAlign w:val="bottom"/>
            <w:tcBorders>
              <w:top w:val="single" w:sz="8" w:color="0000EE"/>
            </w:tcBorders>
            <w:gridSpan w:val="3"/>
          </w:tcPr>
          <w:p>
            <w:pPr>
              <w:spacing w:after="0"/>
              <w:rPr>
                <w:sz w:val="17"/>
                <w:szCs w:val="17"/>
                <w:color w:val="auto"/>
              </w:rPr>
            </w:pPr>
          </w:p>
        </w:tc>
        <w:tc>
          <w:tcPr>
            <w:tcW w:w="80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922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8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554"/>
        </w:trPr>
        <w:tc>
          <w:tcPr>
            <w:tcW w:w="7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740" w:type="dxa"/>
            <w:vAlign w:val="bottom"/>
          </w:tcPr>
          <w:p>
            <w:pPr>
              <w:spacing w:after="0"/>
              <w:rPr>
                <w:sz w:val="24"/>
                <w:szCs w:val="24"/>
                <w:color w:val="auto"/>
              </w:rPr>
            </w:pPr>
          </w:p>
        </w:tc>
        <w:tc>
          <w:tcPr>
            <w:tcW w:w="41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4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7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740" w:type="dxa"/>
            <w:vAlign w:val="bottom"/>
            <w:vMerge w:val="continue"/>
          </w:tcPr>
          <w:p>
            <w:pPr>
              <w:spacing w:after="0"/>
              <w:rPr>
                <w:sz w:val="15"/>
                <w:szCs w:val="15"/>
                <w:color w:val="auto"/>
              </w:rPr>
            </w:pPr>
          </w:p>
        </w:tc>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4,820,970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4,965,381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 net</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Assets held for sale</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5,941,933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4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19,382,145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460" w:top="549" w:right="479" w:bottom="1440" w:gutter="0" w:footer="0" w:header="0"/>
        </w:sectPr>
      </w:pPr>
    </w:p>
    <w:p>
      <w:pPr>
        <w:ind w:left="3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6087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Right of use assets, operating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6087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Right of use assets, finance leases, net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Tradenames and other unamortizable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696087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6256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both"/>
        <w:ind w:left="700"/>
        <w:spacing w:after="0"/>
        <w:tabs>
          <w:tab w:leader="none" w:pos="2320" w:val="left"/>
        </w:tabs>
        <w:rPr>
          <w:sz w:val="20"/>
          <w:szCs w:val="20"/>
          <w:color w:val="auto"/>
        </w:rPr>
      </w:pPr>
      <w:r>
        <w:rPr>
          <w:rFonts w:ascii="Times New Roman" w:cs="Times New Roman" w:eastAsia="Times New Roman" w:hAnsi="Times New Roman"/>
          <w:sz w:val="18"/>
          <w:szCs w:val="18"/>
          <w:color w:val="auto"/>
        </w:rPr>
        <w:t>1,227,880</w:t>
      </w:r>
      <w:r>
        <w:rPr>
          <w:sz w:val="20"/>
          <w:szCs w:val="20"/>
          <w:color w:val="auto"/>
        </w:rPr>
        <w:tab/>
      </w:r>
      <w:r>
        <w:rPr>
          <w:rFonts w:ascii="Times New Roman" w:cs="Times New Roman" w:eastAsia="Times New Roman" w:hAnsi="Times New Roman"/>
          <w:sz w:val="18"/>
          <w:szCs w:val="18"/>
          <w:color w:val="auto"/>
        </w:rPr>
        <w:t>7,000,015</w:t>
      </w:r>
    </w:p>
    <w:p>
      <w:pPr>
        <w:spacing w:after="0" w:line="27" w:lineRule="exact"/>
        <w:rPr>
          <w:sz w:val="20"/>
          <w:szCs w:val="20"/>
          <w:color w:val="auto"/>
        </w:rPr>
      </w:pPr>
    </w:p>
    <w:p>
      <w:pPr>
        <w:jc w:val="both"/>
        <w:ind w:left="920"/>
        <w:spacing w:after="0"/>
        <w:tabs>
          <w:tab w:leader="none" w:pos="2540" w:val="left"/>
        </w:tabs>
        <w:rPr>
          <w:sz w:val="20"/>
          <w:szCs w:val="20"/>
          <w:color w:val="auto"/>
        </w:rPr>
      </w:pPr>
      <w:r>
        <w:rPr>
          <w:rFonts w:ascii="Times New Roman" w:cs="Times New Roman" w:eastAsia="Times New Roman" w:hAnsi="Times New Roman"/>
          <w:sz w:val="18"/>
          <w:szCs w:val="18"/>
          <w:color w:val="auto"/>
        </w:rPr>
        <w:t>15,779</w:t>
      </w:r>
      <w:r>
        <w:rPr>
          <w:sz w:val="20"/>
          <w:szCs w:val="20"/>
          <w:color w:val="auto"/>
        </w:rPr>
        <w:tab/>
      </w:r>
      <w:r>
        <w:rPr>
          <w:rFonts w:ascii="Times New Roman" w:cs="Times New Roman" w:eastAsia="Times New Roman" w:hAnsi="Times New Roman"/>
          <w:sz w:val="18"/>
          <w:szCs w:val="18"/>
          <w:color w:val="auto"/>
        </w:rPr>
        <w:t>28,519</w:t>
      </w:r>
    </w:p>
    <w:p>
      <w:pPr>
        <w:spacing w:after="0" w:line="9" w:lineRule="exact"/>
        <w:rPr>
          <w:sz w:val="20"/>
          <w:szCs w:val="20"/>
          <w:color w:val="auto"/>
        </w:rPr>
      </w:pPr>
    </w:p>
    <w:p>
      <w:pPr>
        <w:jc w:val="both"/>
        <w:ind w:left="840"/>
        <w:spacing w:after="0"/>
        <w:tabs>
          <w:tab w:leader="none" w:pos="2440" w:val="left"/>
        </w:tabs>
        <w:rPr>
          <w:sz w:val="20"/>
          <w:szCs w:val="20"/>
          <w:color w:val="auto"/>
        </w:rPr>
      </w:pPr>
      <w:r>
        <w:rPr>
          <w:rFonts w:ascii="Times New Roman" w:cs="Times New Roman" w:eastAsia="Times New Roman" w:hAnsi="Times New Roman"/>
          <w:sz w:val="18"/>
          <w:szCs w:val="18"/>
          <w:color w:val="auto"/>
        </w:rPr>
        <w:t>364,379</w:t>
      </w:r>
      <w:r>
        <w:rPr>
          <w:sz w:val="20"/>
          <w:szCs w:val="20"/>
          <w:color w:val="auto"/>
        </w:rPr>
        <w:tab/>
      </w:r>
      <w:r>
        <w:rPr>
          <w:rFonts w:ascii="Times New Roman" w:cs="Times New Roman" w:eastAsia="Times New Roman" w:hAnsi="Times New Roman"/>
          <w:sz w:val="18"/>
          <w:szCs w:val="18"/>
          <w:color w:val="auto"/>
        </w:rPr>
        <w:t>436,403</w:t>
      </w:r>
    </w:p>
    <w:p>
      <w:pPr>
        <w:spacing w:after="0" w:line="9" w:lineRule="exact"/>
        <w:rPr>
          <w:sz w:val="20"/>
          <w:szCs w:val="20"/>
          <w:color w:val="auto"/>
        </w:rPr>
      </w:pPr>
    </w:p>
    <w:p>
      <w:pPr>
        <w:jc w:val="both"/>
        <w:ind w:left="840"/>
        <w:spacing w:after="0"/>
        <w:tabs>
          <w:tab w:leader="none" w:pos="2440" w:val="left"/>
        </w:tabs>
        <w:rPr>
          <w:sz w:val="20"/>
          <w:szCs w:val="20"/>
          <w:color w:val="auto"/>
        </w:rPr>
      </w:pPr>
      <w:r>
        <w:rPr>
          <w:rFonts w:ascii="Times New Roman" w:cs="Times New Roman" w:eastAsia="Times New Roman" w:hAnsi="Times New Roman"/>
          <w:sz w:val="18"/>
          <w:szCs w:val="18"/>
          <w:color w:val="auto"/>
        </w:rPr>
        <w:t>217,000</w:t>
      </w:r>
      <w:r>
        <w:rPr>
          <w:sz w:val="20"/>
          <w:szCs w:val="20"/>
          <w:color w:val="auto"/>
        </w:rPr>
        <w:tab/>
      </w:r>
      <w:r>
        <w:rPr>
          <w:rFonts w:ascii="Times New Roman" w:cs="Times New Roman" w:eastAsia="Times New Roman" w:hAnsi="Times New Roman"/>
          <w:sz w:val="18"/>
          <w:szCs w:val="18"/>
          <w:color w:val="auto"/>
        </w:rPr>
        <w:t>217,000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937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tabs>
          <w:tab w:leader="none" w:pos="580" w:val="left"/>
          <w:tab w:leader="none" w:pos="1620" w:val="left"/>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21,207,183</w:t>
        <w:tab/>
        <w:t>$</w:t>
      </w:r>
      <w:r>
        <w:rPr>
          <w:sz w:val="20"/>
          <w:szCs w:val="20"/>
          <w:color w:val="auto"/>
        </w:rPr>
        <w:tab/>
      </w:r>
      <w:r>
        <w:rPr>
          <w:rFonts w:ascii="Times New Roman" w:cs="Times New Roman" w:eastAsia="Times New Roman" w:hAnsi="Times New Roman"/>
          <w:sz w:val="18"/>
          <w:szCs w:val="18"/>
          <w:color w:val="auto"/>
        </w:rPr>
        <w:t>21,323,086</w:t>
      </w:r>
    </w:p>
    <w:p>
      <w:pPr>
        <w:spacing w:after="0" w:line="235" w:lineRule="exact"/>
        <w:rPr>
          <w:sz w:val="20"/>
          <w:szCs w:val="20"/>
          <w:color w:val="auto"/>
        </w:rPr>
      </w:pPr>
    </w:p>
    <w:p>
      <w:pPr>
        <w:sectPr>
          <w:pgSz w:w="11900" w:h="16838" w:orient="portrait"/>
          <w:cols w:equalWidth="0" w:num="2">
            <w:col w:w="7080" w:space="720"/>
            <w:col w:w="3160"/>
          </w:cols>
          <w:pgMar w:left="460" w:top="549" w:right="47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4,090,153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separation costs, related parties, current portion</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 appreciation rights liability</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payable - current portion</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 liability - operating leases, current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liability - finance leases, current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separation costs, related parties, non-current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liability - operating leases, non-current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 liability - finance leases, non-current</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15,451,742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18,517,672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&amp; Contingencies (see Note 18)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53,977,782 and 52,538,100 shares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51,133,485 and 49,714,929 shares outstanding at September 30, 2024 and December 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 respectively</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43,055,316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Treasury stock: 2,644,297 and 2,623,171 shares outstanding at September 30, 2024 and December 31,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 respectively</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(1,141,372)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(36,163,898)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(38,821,278)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5,755,441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2,805,414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21,207,183</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20" w:type="dxa"/>
            <w:vAlign w:val="bottom"/>
            <w:gridSpan w:val="3"/>
          </w:tcPr>
          <w:p>
            <w:pPr>
              <w:jc w:val="center"/>
              <w:ind w:left="2610"/>
              <w:spacing w:after="0"/>
              <w:rPr>
                <w:sz w:val="20"/>
                <w:szCs w:val="20"/>
                <w:color w:val="auto"/>
              </w:rPr>
            </w:pPr>
            <w:r>
              <w:rPr>
                <w:rFonts w:ascii="Times New Roman" w:cs="Times New Roman" w:eastAsia="Times New Roman" w:hAnsi="Times New Roman"/>
                <w:sz w:val="18"/>
                <w:szCs w:val="18"/>
                <w:color w:val="auto"/>
                <w:w w:val="99"/>
              </w:rPr>
              <w:t>See condensed notes to these unaudited consolidated financial statements.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Three</w:t>
            </w:r>
          </w:p>
        </w:tc>
        <w:tc>
          <w:tcPr>
            <w:tcW w:w="8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Three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Nine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Nine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8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10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8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17,009,771</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16,958,489</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49,398,874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52,154,339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12,725,537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12,419,325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37,312,903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39,354,071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4,284,234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4,539,164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12,085,971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12,800,268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3,570,339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4,157,015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11,446,560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12,782,029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Separation costs - executive officers</w:t>
            </w: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1,945,650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3,570,339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4,157,015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11,446,560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14,727,679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713,895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(1,927,411)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(217,275)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(260,994)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(642,212)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(643,355)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assets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2,641,979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subsidiary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leasing income</w:t>
            </w: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(258,605)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2,026,593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(637,166)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before taxes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1,332,983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2,666,004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(2,564,577)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1,332,983</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123,544</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2,666,004</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(2,580,411)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from discontinued operations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11,189</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1,334,830</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134,733</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2,657,380</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(2,680,562)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per share from continuing operations - basic</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per share from continuing operations - diluted</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per share from discontinued operations - basic</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per share from discontinued operations - diluted</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50,995,008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49,193,476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50,518,152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48,909,277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51,639,238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49,235,998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51,162,382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48,909,277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84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Common Stock to be issued</w:t>
            </w: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8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40" w:type="dxa"/>
            <w:vAlign w:val="bottom"/>
            <w:gridSpan w:val="4"/>
            <w:vMerge w:val="continue"/>
          </w:tcPr>
          <w:p>
            <w:pPr>
              <w:spacing w:after="0"/>
              <w:rPr>
                <w:sz w:val="13"/>
                <w:szCs w:val="13"/>
                <w:color w:val="auto"/>
              </w:rPr>
            </w:pPr>
          </w:p>
        </w:tc>
        <w:tc>
          <w:tcPr>
            <w:tcW w:w="1040" w:type="dxa"/>
            <w:vAlign w:val="bottom"/>
            <w:gridSpan w:val="3"/>
          </w:tcPr>
          <w:p>
            <w:pPr>
              <w:jc w:val="right"/>
              <w:ind w:right="99"/>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June 30, 2023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50,969,327</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5,092</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847,320</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$ 42,608,233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 (1,141,370)</w:t>
            </w:r>
          </w:p>
        </w:tc>
        <w:tc>
          <w:tcPr>
            <w:tcW w:w="104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 (37,281,421)</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4,190,619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of shares under equity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77,326</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77,326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incentive plan</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from</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652,911</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1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(667,320)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subscribed</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for the three months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134,733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134,733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ended September 30, 2023</w:t>
            </w: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September 30, 2023</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51,622,238</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5,159</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180,000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$ 42,685,559</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(37,146,688</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4,402,678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June 30, 2024</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52,562,238</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5,253</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42,950,189</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2,644,297</w:t>
            </w:r>
          </w:p>
        </w:tc>
        <w:tc>
          <w:tcPr>
            <w:tcW w:w="1100" w:type="dxa"/>
            <w:vAlign w:val="bottom"/>
            <w:gridSpan w:val="3"/>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(1,141,372)</w:t>
            </w:r>
          </w:p>
        </w:tc>
        <w:tc>
          <w:tcPr>
            <w:tcW w:w="104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(37,498,728)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4,315,342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of shares under equity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105,269</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105,269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incentive plan</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under equity</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1,415,544</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(142)</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plan</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for the three months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1,334,830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1,334,830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ended September 30, 2024</w:t>
            </w: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September 30, 2024</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53,977,782</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5,395</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43,055,316</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2,644,297</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(1,141,372)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(36,163,898</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5,755,441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49,427,297</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4,938</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1,499,940</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$ 42,189,471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 (1,141,370)</w:t>
            </w:r>
          </w:p>
        </w:tc>
        <w:tc>
          <w:tcPr>
            <w:tcW w:w="104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 (34,466,126)</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6,587,063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50,658</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to management and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875,000</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1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(875,000)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employees, previously accrued</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of shares under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165,328</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165,328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under severance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167,960</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agreement</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for services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267,030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112,142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from</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652,911</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1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(667,320)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subscribed</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 for the nine months ended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(2,680,562)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(2,680,562)</w:t>
            </w:r>
          </w:p>
        </w:tc>
        <w:tc>
          <w:tcPr>
            <w:tcW w:w="0" w:type="dxa"/>
            <w:vAlign w:val="bottom"/>
          </w:tcPr>
          <w:p>
            <w:pPr>
              <w:spacing w:after="0"/>
              <w:rPr>
                <w:sz w:val="1"/>
                <w:szCs w:val="1"/>
                <w:color w:val="auto"/>
              </w:rPr>
            </w:pPr>
          </w:p>
        </w:tc>
      </w:tr>
      <w:tr>
        <w:trPr>
          <w:trHeight w:val="158"/>
        </w:trPr>
        <w:tc>
          <w:tcPr>
            <w:tcW w:w="22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September 30, 2023</w:t>
            </w: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September 30, 2023</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51,622,238</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5,159</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180,000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$ 42,685,559</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(37,146,688</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4,402,678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52,538,100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5,251</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42,762,811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(1,141,370)</w:t>
            </w:r>
          </w:p>
        </w:tc>
        <w:tc>
          <w:tcPr>
            <w:tcW w:w="104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(38,821,278)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2,805,414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returned to treasury from</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(21,124)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21,126</w:t>
            </w:r>
          </w:p>
        </w:tc>
        <w:tc>
          <w:tcPr>
            <w:tcW w:w="110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(21,126)</w:t>
            </w: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 of subsidiary</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of shares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313,773</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313,773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under compensation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1,415,544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(142)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plans</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 for cashless exercise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24,138</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for the nine months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2,657,380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2,657,380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ended September 30, 2024</w:t>
            </w: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September 30, 2024</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53,977,782</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5,395</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$ 43,055,316</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2,644,297</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(1,141,372</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(36,163,898</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5,755,441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260" w:type="dxa"/>
            <w:vAlign w:val="bottom"/>
            <w:gridSpan w:val="2"/>
            <w:vMerge w:val="continue"/>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7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2,657,380</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(2,680,562)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(2,641,979)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on sale of subsidiary</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right of use asset</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discount on notes payable</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313,773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Value of stock appreciation rights</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476,161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274,755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(697,821)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(108,673)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Inventory and other current assets, net</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(301,158)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(2,281,618)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(1,489,017)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separation costs - related parties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(379,380)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1,385,503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(97,569)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(463,833)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liability</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(47,650)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(2,717,332)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(2,196,279)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40" w:type="dxa"/>
            <w:vAlign w:val="bottom"/>
            <w:tcBorders>
              <w:top w:val="single" w:sz="8" w:color="CCEEFF"/>
            </w:tcBorders>
          </w:tcPr>
          <w:p>
            <w:pPr>
              <w:spacing w:after="0"/>
              <w:rPr>
                <w:sz w:val="12"/>
                <w:szCs w:val="12"/>
                <w:color w:val="auto"/>
              </w:rPr>
            </w:pPr>
          </w:p>
        </w:tc>
        <w:tc>
          <w:tcPr>
            <w:tcW w:w="15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(309,262)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(58,949)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received from sale land and building, net of loan payoff</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2,101,185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received from sale of intangible assets, net of costs</w:t>
            </w:r>
          </w:p>
        </w:tc>
        <w:tc>
          <w:tcPr>
            <w:tcW w:w="1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2,316,923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(58,949)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40" w:type="dxa"/>
            <w:vAlign w:val="bottom"/>
            <w:tcBorders>
              <w:top w:val="single" w:sz="8" w:color="CCEEFF"/>
            </w:tcBorders>
          </w:tcPr>
          <w:p>
            <w:pPr>
              <w:spacing w:after="0"/>
              <w:rPr>
                <w:sz w:val="12"/>
                <w:szCs w:val="12"/>
                <w:color w:val="auto"/>
              </w:rPr>
            </w:pPr>
          </w:p>
        </w:tc>
        <w:tc>
          <w:tcPr>
            <w:tcW w:w="15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received from issuance of notes payable, net of costs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3,285,588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payments on debt</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(64,878)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(52,405)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payments financing leases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(136,078)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(151,133)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payments on line of credit</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(2,014,333)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(200,956)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1,067,717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 in cash and cash equivalents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(601,365)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(1,187,511)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5,422,335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end of period - continuing operations</w:t>
            </w:r>
          </w:p>
        </w:tc>
        <w:tc>
          <w:tcPr>
            <w:tcW w:w="17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4,820,970</w:t>
            </w:r>
          </w:p>
        </w:tc>
        <w:tc>
          <w:tcPr>
            <w:tcW w:w="140" w:type="dxa"/>
            <w:vAlign w:val="bottom"/>
          </w:tcPr>
          <w:p>
            <w:pPr>
              <w:spacing w:after="0"/>
              <w:rPr>
                <w:sz w:val="12"/>
                <w:szCs w:val="12"/>
                <w:color w:val="auto"/>
              </w:rPr>
            </w:pPr>
          </w:p>
        </w:tc>
        <w:tc>
          <w:tcPr>
            <w:tcW w:w="24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3,535,862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end of period - discontinued operations</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5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4,820,970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3,711,887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w:t>
            </w:r>
          </w:p>
        </w:tc>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15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456,062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572,879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Taxes</w:t>
            </w:r>
          </w:p>
        </w:tc>
        <w:tc>
          <w:tcPr>
            <w:tcW w:w="15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2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Reclassify fixed assets as held for sale</w:t>
            </w:r>
          </w:p>
        </w:tc>
        <w:tc>
          <w:tcPr>
            <w:tcW w:w="1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5,941,933</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Debt to Fifth Third Bank paid directly by Maple Mark Bank</w:t>
            </w:r>
          </w:p>
        </w:tc>
        <w:tc>
          <w:tcPr>
            <w:tcW w:w="154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353,815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for severance agreement previously accrued</w:t>
            </w:r>
          </w:p>
        </w:tc>
        <w:tc>
          <w:tcPr>
            <w:tcW w:w="1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168,000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Par value of shares issued, previously accrued</w:t>
            </w:r>
          </w:p>
        </w:tc>
        <w:tc>
          <w:tcPr>
            <w:tcW w:w="154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stock for cashless exercise of options</w:t>
            </w:r>
          </w:p>
        </w:tc>
        <w:tc>
          <w:tcPr>
            <w:tcW w:w="1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ACTIVITIES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those of Innovative Food Holdings, Inc. and all of its wholly-owned subsidiaries (collectively, “we,” “our,” “us” or the “Company”) and have been prepared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2023. In the opinion of management, the interim unaudited consolidated financial statements reflect all adjustments, including normal recurring adjustments, necessary for fair presentation of the interim periods presented. The results of the operations for the three and nine months ended September 30, 2024 are not necessarily indicative of the results of operations to be expected for the full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provide difficult-to-find specialty foods primarily to both Professional Chefs through our relationships with producers, growers, makers and distributors of these products worldwide. The distribution of these products primarily originates from our two warehouses and those of our drop ship partners, and is driven by our proprietary technology platform. In addition, we provide value-added services through our team of food specialists and Chef Advisors who offer customer support, menu ideas, and preparation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we made the decision to focus more on our Business to Business (B2B) activities and less on our Direct to Consumer (“D2C”) products. Our subsidiaries GROW and Oasis were sold effective December 29, 2023; Haley Food Group, Inc. (“Haley”) was sold effective February 26, 2024; and the activities of P Innovations will be abandoned. Our remaining D2C business, primarily operated from our igourmet and Mouth ecommerce platforms, will be downsized. On September 30, 2024, we sold intangible assets of Innovative Gourmet, specifically the igourmet platform and its D2C components. However, we continue to operate the B2B component, which remains part of our continuing operations. See Note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guidance of Accounts Standards Codification (“ASC”) 205-20,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the accounts of our discontinued entities GROW, Oasis, Haley, and P Innovations have been included in “Net loss from discontinued operations” in our consolidated statements of operations until such time as each entity are sold. Additionally, the assets and liabilities of these entities have been presented as discontinued operations in our consolidated balance sheets. On December 29, 2023, the Company completed the sales of its Grow and Oasis subsidiaries, and on February 26, 2024, the Company completed the sale of its Haley subsidiary (see Note 3). In addition, the operations of P Innovations have been abandoned. There were no remaining discontinued operations on the Company’s balance sheet at September 30, 2024. See Note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amounts presented in the financial statements of the prior period have been reclassified to conform with the current period presentation of discontinued operations. See Note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unaudited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allowances for doubtful accounts, allowances for slow moving &amp; obsolete inventory, income taxes, intangible assets,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ectPr>
          <w:pgSz w:w="11900" w:h="16838" w:orient="portrait"/>
          <w:cols w:equalWidth="0" w:num="1">
            <w:col w:w="10980"/>
          </w:cols>
          <w:pgMar w:left="460" w:top="121" w:right="459" w:bottom="1440" w:gutter="0" w:footer="0" w:header="0"/>
        </w:sectPr>
      </w:pP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The Company’s largest customer, U.S. Foods, Inc. and its affiliates, accounted for approximately 45% and 49% of total sales in the three months ended September 30, 2024 and 2023, respectively, and 47% and 48% of total sales in the nine months ended September 30, 2024 and 2023, respectively. In addition, Gate Gourmet, the leading global provider of airline catering solutions and provisioning services for airlines, represented 18% and 16% of total sales for the three months ended September 30, 2024 and 2023, respectively, and 18% and 16% of total sales for the nine months ended September 30, 2024 and 2023, respectively.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September 30, 2024 and December 31, 2023, the total cash in excess of these limits was $551,047 and $988,825,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provides an allowance for doubtful accounts equal to the estimated uncollectible amounts pursuant to the guidance of Accounting Standards Update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(Topic 326) as codified in ASC 326,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$87,149 and $46,477 at September 30, 2024 and December 31,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Financial Accounting Standards Board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revenue from product sales (i.e., specialty foodservice and e-commerce), the Company recognizes revenue in accordance with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Warehouse and logistics services revenues are primarily comprised of inventory management, order fulfilment and warehousing services. Warehouse and logistics services revenues are recognized at the point in time when the services are rendered to the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deferred revenue as reported on the Company’s consolidated balance sheets:</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2023 (unaudited)</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2023 (unaudited)</w:t>
            </w:r>
          </w:p>
        </w:tc>
        <w:tc>
          <w:tcPr>
            <w:tcW w:w="2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 (unaudited)</w:t>
            </w:r>
          </w:p>
        </w:tc>
        <w:tc>
          <w:tcPr>
            <w:tcW w:w="2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(4,117,978)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2024 (unaudited)</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(4,383,177)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 (unaudited)</w:t>
            </w:r>
          </w:p>
        </w:tc>
        <w:tc>
          <w:tcPr>
            <w:tcW w:w="2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1,440,803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 (unaudited)</w:t>
            </w:r>
          </w:p>
        </w:tc>
        <w:tc>
          <w:tcPr>
            <w:tcW w:w="2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for the three months ended September 30, 2024 and 2023:</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Foodservice</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15,583,758</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14,775,073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1,824,699</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358,717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17,009,771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16,958,489</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for the nine months ended September 30, 2024 and 2023:</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Foodservice</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44,932,020</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44,625,285</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3,703,413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6,651,325</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763,441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877,729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49,398,874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52,154,339</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460" w:top="121" w:right="47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shares issuable under executive compensation plan. Basic and diluted net loss per share is computed based on the weighted average number of shares of common stock outstanding during the period.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September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September 30, 2024:</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00" w:type="dxa"/>
            <w:vAlign w:val="bottom"/>
          </w:tcPr>
          <w:p>
            <w:pPr>
              <w:spacing w:after="0"/>
              <w:rPr>
                <w:sz w:val="18"/>
                <w:szCs w:val="18"/>
                <w:color w:val="auto"/>
              </w:rPr>
            </w:pPr>
          </w:p>
        </w:tc>
        <w:tc>
          <w:tcPr>
            <w:tcW w:w="26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00" w:type="dxa"/>
            <w:vAlign w:val="bottom"/>
          </w:tcPr>
          <w:p>
            <w:pPr>
              <w:spacing w:after="0"/>
              <w:rPr>
                <w:sz w:val="20"/>
                <w:szCs w:val="20"/>
                <w:color w:val="auto"/>
              </w:rPr>
            </w:pPr>
          </w:p>
        </w:tc>
        <w:tc>
          <w:tcPr>
            <w:tcW w:w="26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30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there were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September 30, 2024, none of these RSU were vested. There was no charge to operations for these RSUs during the three and nine months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At September 30, 2024, there were a total of 2,494,990 shares of common stock potentially issuable to the Company’s executive officers pursuant to compensation plans and contingent upon the achievement of certain performance goals; see Notes 15 and 16. Of these, 644,230 shares have vested and are included in fully-diluted shares outstanding during the three and nine months ended September 30, 2024; 2,494,990 have not vested, and are excluded from the calculation of fully-diluted shares outstanding during the nine months ended September 30, 2024. During the three and nine months ended September 30, 2024, the amounts of $105,269 and $313,773, respectively, were charged to stock-based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September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September 30, 2023:</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00" w:type="dxa"/>
            <w:vAlign w:val="bottom"/>
          </w:tcPr>
          <w:p>
            <w:pPr>
              <w:spacing w:after="0"/>
              <w:rPr>
                <w:sz w:val="18"/>
                <w:szCs w:val="18"/>
                <w:color w:val="auto"/>
              </w:rPr>
            </w:pPr>
          </w:p>
        </w:tc>
        <w:tc>
          <w:tcPr>
            <w:tcW w:w="26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00" w:type="dxa"/>
            <w:vAlign w:val="bottom"/>
          </w:tcPr>
          <w:p>
            <w:pPr>
              <w:spacing w:after="0"/>
              <w:rPr>
                <w:sz w:val="20"/>
                <w:szCs w:val="20"/>
                <w:color w:val="auto"/>
              </w:rPr>
            </w:pPr>
          </w:p>
        </w:tc>
        <w:tc>
          <w:tcPr>
            <w:tcW w:w="26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30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30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2023, there were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September 30, 2023, none of these RSU were vested. There was no charge to operations for these RSUs during the three and nine months ended September 30,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2023, there were a total of 3,538,243 shares of common stock potentially issuable to the Company’s CEO pursuant to his compensation plan and contingent upon the achievement of certain performance goals; see Notes 14 and 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2023, in connection with an analysis of the Company’s sales mix and profitability by service offering, management made the strategic decision to focus on the Company’s B2B service offering and to allocate fewer resources to and in some cases to sell certain of the Company’s subsidiaries involved in its D2C service offerings. Pursuant to this strategy, on December 29, 2023, the Company completed the sales of its Grow and Oasis subsidiaries, and on February 26, 2024, the Company completed the sale of its Haley subsidiary (see Note 3). In addition, the operations of P Innovations have been abandoned.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 of assets and liabilities included as part of discontinued operations in the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346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(unaudited)</w:t>
            </w: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46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 - discontinued operations</w:t>
            </w:r>
          </w:p>
        </w:tc>
        <w:tc>
          <w:tcPr>
            <w:tcW w:w="346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2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2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1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 - discontinued operations</w:t>
            </w:r>
          </w:p>
        </w:tc>
        <w:tc>
          <w:tcPr>
            <w:tcW w:w="2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the after-tax loss from discontinued operations in the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(326,119)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(8,624)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major classes of line items which constituted significant operating and investing cash flow activities in the consolidated statements of cash flows relating to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SUBSIDIARY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Haley had no assets or liabilities at the time of the sale. The Company valued the 21,126 shares of common stock at the market price on the date of the acquisition of $1.00 per sale and recorded a gain in the amount of $21,126 on this transaction.</w:t>
      </w:r>
    </w:p>
    <w:p>
      <w:pPr>
        <w:sectPr>
          <w:pgSz w:w="11900" w:h="16838" w:orient="portrait"/>
          <w:cols w:equalWidth="0" w:num="1">
            <w:col w:w="10960"/>
          </w:cols>
          <w:pgMar w:left="460" w:top="122" w:right="47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accounts receivable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Accounts receivable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5,052,530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4,354,203</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(87,149)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(46,477)</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4,965,381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4,307,726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900" w:space="720"/>
            <w:col w:w="4340"/>
          </w:cols>
          <w:pgMar w:left="460" w:top="122" w:right="47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charged the amount of $4,812 and $40,667 to provision for doubtful accounts, respectively. During the three and nine months ended September 30, 2023, the Company charged the amount of $57,789 and $108,694 to provision for doubtful accounts, respectively.</w:t>
      </w:r>
    </w:p>
    <w:p>
      <w:pPr>
        <w:sectPr>
          <w:pgSz w:w="11900" w:h="16838" w:orient="portrait"/>
          <w:cols w:equalWidth="0" w:num="1">
            <w:col w:w="10960"/>
          </w:cols>
          <w:pgMar w:left="460" w:top="122" w:right="479" w:bottom="144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primarily of specialty food products. At September 30, 2024 and December 31, 2023, inventory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3,134,237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2,973,134</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slow moving &amp; obsolete inventory</w:t>
            </w:r>
          </w:p>
        </w:tc>
        <w:tc>
          <w:tcPr>
            <w:tcW w:w="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 net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3,134,237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2,973,134</w:t>
            </w:r>
          </w:p>
        </w:tc>
        <w:tc>
          <w:tcPr>
            <w:tcW w:w="80" w:type="dxa"/>
            <w:vAlign w:val="bottom"/>
            <w:shd w:val="clear" w:color="auto" w:fill="CCEEFF"/>
          </w:tcPr>
          <w:p>
            <w:pPr>
              <w:spacing w:after="0"/>
              <w:rPr>
                <w:sz w:val="19"/>
                <w:szCs w:val="19"/>
                <w:color w:val="auto"/>
              </w:rPr>
            </w:pP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and equipment at September 30, 2024 and December 31, 2023 is as follows: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1,079,512</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6,571,496</w:t>
            </w: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597,834</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477,090</w:t>
            </w: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1,101,246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940,960</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8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2,830,690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9,725,245</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(1,602,810)</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(2,725,230)</w:t>
            </w: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1,227,880</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7,000,015</w:t>
            </w:r>
          </w:p>
        </w:tc>
        <w:tc>
          <w:tcPr>
            <w:tcW w:w="80" w:type="dxa"/>
            <w:vAlign w:val="bottom"/>
            <w:shd w:val="clear" w:color="auto" w:fill="CCEEFF"/>
          </w:tcPr>
          <w:p>
            <w:pPr>
              <w:spacing w:after="0"/>
              <w:rPr>
                <w:sz w:val="19"/>
                <w:szCs w:val="19"/>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amounted to $47,861 and $98,367 for the three months ended September 30, 2024 and 2023, respectively and $211,488 and $285,215 for the nine months ended September 30, 2024 and 2023, respectively. Depreciation expense for property and equipment is recorded in selling, general &amp; administrating expenses on the Company’s statement of operations. During the nine months ended September 30, 2024 and 2023, the Company acquired property and equipment in the amount of $309,262 and $58,949,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recorded the disposal of fully depreciated assets in the amount of $471,304. There was no gain or loss on these disposals.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CLASSIFIED AS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classified the land, building, leasehold improvements, and certain equipment located at 28411 Race Track Road, Bonita Springs, Florida, 34135 (the “Race Track Road Property”) as held for sale. On February 14, 2024, the Company finalized the sale of the Race Track Road Property for cash in the amount of $2,455,000. The Company recorded a gain on the sale in the amount of $1,807,516. Proceeds of the sale in the amount of $353,815 were used to pay the mortgage and accrued interest on the Race Track Road Property. Total expenses related to the sale were $165,755, including a commission of $147,300, state taxes of $17,185, and closing fees of $1,270.</w:t>
      </w:r>
    </w:p>
    <w:p>
      <w:pPr>
        <w:spacing w:after="0" w:line="1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As of September 30, 2024, the Company classified the land and building located at 220 Oak Hill Road, Mountain Top, Pennsylvania, as held for sale.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these assets consisted of the following at September 30, 2024 and December 31, 2023:</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871,372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431,147</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5,941,933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649,844</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RIGHT OF USE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expense for the three months ended September 30, 2024 and 2023 was entirely comprised of operating leases and amounted to $4,633 and $17,746, respectively. The Company’s lease expense for the nine months ended September 30, 2024 and 2023 was entirely comprised of operating leases and amounted to $9,266 and $54,282,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ROU asset amortization for the three months ended September 30, 2024 and 2023 was $4,175 and $16,314, respectively. The Company’s ROU asset amortization for the nine months ended September 30, 2024 and 2023 was $12,740 and $47,650, respectively. The difference between the lease expense and the associated ROU asset amortization consists of interest.</w:t>
      </w:r>
    </w:p>
    <w:p>
      <w:pPr>
        <w:sectPr>
          <w:pgSz w:w="11900" w:h="16838" w:orient="portrait"/>
          <w:cols w:equalWidth="0" w:num="1">
            <w:col w:w="10960"/>
          </w:cols>
          <w:pgMar w:left="460" w:top="122" w:right="47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 of use assets – operating leases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Warehouse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Right of use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Warehouse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21,869</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28,519</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21,869</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r>
    </w:tbl>
    <w:p>
      <w:pPr>
        <w:spacing w:after="0" w:line="20" w:lineRule="exact"/>
        <w:rPr>
          <w:sz w:val="20"/>
          <w:szCs w:val="20"/>
          <w:color w:val="auto"/>
        </w:rPr>
      </w:pPr>
    </w:p>
    <w:p>
      <w:pPr>
        <w:sectPr>
          <w:pgSz w:w="11900" w:h="16838" w:orient="portrait"/>
          <w:cols w:equalWidth="0" w:num="2">
            <w:col w:w="5900" w:space="720"/>
            <w:col w:w="4340"/>
          </w:cols>
          <w:pgMar w:left="460" w:top="122" w:right="47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tcPr>
          <w:p>
            <w:pPr>
              <w:spacing w:after="0"/>
              <w:rPr>
                <w:sz w:val="16"/>
                <w:szCs w:val="16"/>
                <w:color w:val="auto"/>
              </w:rPr>
            </w:pPr>
          </w:p>
        </w:tc>
        <w:tc>
          <w:tcPr>
            <w:tcW w:w="3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Lease liability</w:t>
            </w:r>
          </w:p>
        </w:tc>
        <w:tc>
          <w:tcPr>
            <w:tcW w:w="2200" w:type="dxa"/>
            <w:vAlign w:val="bottom"/>
            <w:gridSpan w:val="2"/>
            <w:shd w:val="clear" w:color="auto" w:fill="CCEEFF"/>
          </w:tcPr>
          <w:p>
            <w:pPr>
              <w:jc w:val="right"/>
              <w:ind w:right="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15,779</w:t>
            </w:r>
          </w:p>
        </w:tc>
        <w:tc>
          <w:tcPr>
            <w:tcW w:w="18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jc w:val="right"/>
              <w:ind w:right="3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28,519</w:t>
            </w:r>
          </w:p>
        </w:tc>
        <w:tc>
          <w:tcPr>
            <w:tcW w:w="80" w:type="dxa"/>
            <w:vAlign w:val="bottom"/>
            <w:shd w:val="clear" w:color="auto" w:fill="CCEEFF"/>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(14,898)</w:t>
            </w: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September 30, 2025</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ended September 30, 2026</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0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7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10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jc w:val="right"/>
              <w:ind w:right="97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2" w:right="4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Right of use asset – financing leases are summarized below:</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404,858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555,416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555,416</w:t>
            </w:r>
          </w:p>
        </w:tc>
        <w:tc>
          <w:tcPr>
            <w:tcW w:w="8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960,274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960,274</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(595,895)</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(523,871)</w:t>
            </w: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364,379</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436,403</w:t>
            </w:r>
          </w:p>
        </w:tc>
        <w:tc>
          <w:tcPr>
            <w:tcW w:w="80" w:type="dxa"/>
            <w:vAlign w:val="bottom"/>
            <w:shd w:val="clear" w:color="auto" w:fill="CCEEFF"/>
          </w:tcPr>
          <w:p>
            <w:pPr>
              <w:spacing w:after="0"/>
              <w:rPr>
                <w:sz w:val="19"/>
                <w:szCs w:val="19"/>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right of use assets for the three months ended September 30, 2024 and 2023 was $43,048 and $33,480,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right of use assets for the nine months ended September 30, 2024 and 2023 was $72,024 and $100,440,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Table of Contents</w:t>
            </w:r>
          </w:p>
        </w:tc>
        <w:tc>
          <w:tcPr>
            <w:tcW w:w="6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Financing lease liabilities are summarized below:</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forklift dated July 12, 2021 in the original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$16,070 payable in thirty-six monthly installments of $489 including interest at the rate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During the three months ended September 30, 2024,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amounts of $1,453 and $15, respectively; during the nine months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September 30, 2024, the Company made principal and interest payments on this lease obligation 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amount of $2,884 and $51, respectively.</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pallet truck dated July 15, 2021 in the original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$5,816 payable in thirty-six monthly installments of $177 including interest at the rate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During the three months ended September 30, 2024,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amounts of $526 and $5, respectively; during the nine months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September 30, 2024, the Company made principal and interest payments on this lease obligation 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amount of $1,044 and $18, respectively.</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furniture and equipment truck dated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14, 2020 in the original amount of $514,173 payable in sixty monthly installments of $9,942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interest at the rate of 6.01%. During the three months ended September 30, 2024, the Company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made principal and interest payments on this lease obligation in the amount of $27,812 and $2,013,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 during the nine months ended September 30, 2024,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 of $82,097 and $7,274, respectively.</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March 31, 2020 in the original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$152,548 payable in eighty-four monthly installments of $2,188 including interest at the rate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5.44%. During the three months ended September 30, 2024,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amounts of $5,705 and $859, respectively; during the nine months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September 30, 2024, the Company made principal and interest payments on this lease obligation 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amount of $16,887 and $2,808, respectively.</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November 5, 2018 in the original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$128,587 payable in seventy monthly installments of $2,326 including interest at the rate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8.33%. During the three months ended September 30, 2024,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amounts of $4,603 and $48, respectively; during the nine months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September 30, 2024, the Company made principal and interest payments on this lease obligation 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amount of $18,035 and $568, respectively.</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August 23, 2019 in the original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$80,413 payable in eighty-four monthly installments of $1,148 including interest at the rate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 During the three months ended September 30, 2024,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amounts of $3,117 and $327, respectively; during the nine months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September 30, 2024, the Company made principal and interest payments on this lease obligation 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amount of $9,235 and $1,097, respectively.</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February 4, 2022 in the original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$42,500 payable in twenty-four monthly installments of $1,963 including interest at the rate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During the three months ended September 30, 2024,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amounts of $0 and $0, respectively. This lease obligation is fully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as of September 30, 2024.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jc w:val="right"/>
              <w:ind w:right="21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1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0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accrued interest on financing leases at September 30, 2024 and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maturities of lease liabilities:</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twelve months ended September 30,</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of Artisan Specialty Foods, Inc. (“Artisan”), igourmet, and Mouth. These assets include non-compete agreements, customer relationships, trade names, internally developed technology, and goodwill. The Company has also capitalized the development of its website.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6, 2024, the Company signed an agreement to sell intangible assets of its consumer e-commerce business igourmet, generally consisting of customer lists, domains, and trademarks for cash of $700,000. The purchase price was $947,650, consisting of the following: The Company received cash of $525,000 during the three months ended September 30, 2024; an additional cash payment of $175,000, reduced by $8,569 in costs and $74,431 for the timing of payments received for gift cards for a net amount of $92,000, has been recorded on the Company’s balance sheet as Other Receivables as of September 30, 2024. The buyer also assumed liabilities of $330,650. The intangible assets sold were fully amortized on the Company’s balance sheet, and the Company recognized a gain on the sale of $834,463, net of acquisition costs in the amount of $113,187.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Non-Amortizable Intangible Assets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Other non-amortizable intangible assets consist of $217,000 of trade names held by Artisan. The Company followed the guidance of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in assessing these assets for impairment. ASC 360 states that impairment testing should be completed whenever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changes in circumstances indicate the asset’s carrying value may not be recoverable. In management’s judgment, there are no indications that the carrying value of these trade names may not be recoverable, and it determined that impairment testing was not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The following is the net book value of these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shd w:val="clear" w:color="auto" w:fill="CCEEFF"/>
          </w:tcPr>
          <w:p>
            <w:pPr>
              <w:spacing w:after="0"/>
              <w:rPr>
                <w:sz w:val="19"/>
                <w:szCs w:val="19"/>
                <w:color w:val="auto"/>
              </w:rPr>
            </w:pP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Names</w:t>
            </w:r>
          </w:p>
        </w:tc>
        <w:tc>
          <w:tcPr>
            <w:tcW w:w="2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shd w:val="clear" w:color="auto" w:fill="CCEEFF"/>
          </w:tcPr>
          <w:p>
            <w:pPr>
              <w:spacing w:after="0"/>
              <w:rPr>
                <w:sz w:val="19"/>
                <w:szCs w:val="19"/>
                <w:color w:val="auto"/>
              </w:rPr>
            </w:pP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amortization expense for the three months ended September 30, 2024 and 2023 was $0 and $10,332, respectively. Total amortization expense for the nine months ended September 30, 2024 and 2023 was $0 and $30,994,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accrued liabilities at September 30, 2024 and December 31, 2023 are as follows:</w:t>
      </w:r>
    </w:p>
    <w:p>
      <w:pPr>
        <w:sectPr>
          <w:pgSz w:w="11900" w:h="16838" w:orient="portrait"/>
          <w:cols w:equalWidth="0" w:num="1">
            <w:col w:w="10960"/>
          </w:cols>
          <w:pgMar w:left="460" w:top="12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Trade payables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Accrued payroll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 ACCRUED SEPARATION COSTS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RELATED PARTIES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3,831,991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6,046,396</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258,162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206,555</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4,090,153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6,252,951</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89" w:lineRule="exact"/>
        <w:rPr>
          <w:sz w:val="20"/>
          <w:szCs w:val="20"/>
          <w:color w:val="auto"/>
        </w:rPr>
      </w:pPr>
    </w:p>
    <w:p>
      <w:pPr>
        <w:sectPr>
          <w:pgSz w:w="11900" w:h="16838" w:orient="portrait"/>
          <w:cols w:equalWidth="0" w:num="2">
            <w:col w:w="5900" w:space="720"/>
            <w:col w:w="4340"/>
          </w:cols>
          <w:pgMar w:left="460" w:top="122" w:right="479" w:bottom="1440" w:gutter="0" w:footer="0" w:header="0"/>
          <w:type w:val="continuous"/>
        </w:sectPr>
      </w:pP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3, 2023, the Company entered into a Severance Note, an Agreement and General Release, and a Side Letter thereto (the “SK Agreements”) with Sam Klepfish, its prior CEO and a current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non-interest bearing note payable to Mr. Klepfish. The SK Agreements also call for the delivery of 400,000 shares of the Company’s common stock valued at $168,000 based upon the closing price of the Company’s common stock on Mr. Klepfish’s separation date of February 28, 2023; in addition, for delivery on June 1, 2027 of additional shares of the Company’s common stock equal to the greater of (i) the number of shares with an aggregate fair market value of $400,000 on such date, or (ii) 266,666 shares. The Company also agreed to pay a total of $1,199 of the Consolidated Omnibus Reconciliation Act (“COBRA”) insurance costs on behalf of Mr. Klepfish over eighteen months. The total amount accrued in connection with the SK Agreements was $1,819,199.</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2023, the Company entered into a separation agreement (the “Wiernasz Separation Agreement”) with Justin Wiernasz, a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accrued in connection with the Wiernasz Separation Agreement was $126,451.</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2024, the Company entered into a separation agreement (the “Tang Separation Agreement”) with Richard Tang, its Chief Financial Officer, effective as of December 31, 2023. Pursuant to the Tang Separation Agreement, the Company has agreed to pay to Mr. Tang, in equal installments over a five-month period, the gross sum of $113,918. In addition, Mr. Tang may submit for reimbursement up to $4,000 of legal expenses connected with the review of the Tang Separation Agreement. The severance payment will be made in the following installments: (i) $25,890 to be paid the week of March 4, 2024; (ii) $5,178 to be paid each successive week for seventeen weeks beginning the week of March 11, 2024, until the severance payment is completed. In addition, if Tang timely elects to continue his group health insurance benefits under COBRA, the Company will reimburse Tang’s group health insurance premiums for the lesser of: (a) the period of time Employee is eligible to continue his group health insurance benefits under COBRA and (b) the five-month period immediately following the separation date. Reimbursements will be paid within thirty days of when Mr. Tang submits a request for reimbursement and supporting documentation.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the Company paid cash in the amount of $83,333 and $250,000, respectively, to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Klepfish in connection with the SK Agreements.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made the following payments in connection with the Wiernasz Separation Agreement: The Company made COBRA payments on behalf of Mr. Weirnasz in the amount of $0 and $967,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made the following payments in connection with the Tang Separation Agreement: The Company paid cash to Mr. Tang in the amount of $5,178 and $113,918, respectively; and COBRA payments on behalf of Mr. Tang in the amount of $2,956 and $14,495,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Table of Contents</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table represents the amounts accrued, paid, and outstanding on these agreements as of September 30, 2024: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Mr. Klepfish:</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4"/>
                <w:szCs w:val="24"/>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Paid / Issued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24"/>
                <w:szCs w:val="24"/>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10"/>
        </w:trPr>
        <w:tc>
          <w:tcPr>
            <w:tcW w:w="42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through March 6, 2026</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(525,642)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474,358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 upon agreement execution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 June 1, 2027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 Issued in April 2023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Mr. Klepfish</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1,819,199</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(943,642)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875,557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334,532</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Wiernasz:</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three equal payments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Mr. Wiernasz</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126,451</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(126,451)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Tang:</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 over seventeen weeks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113,918</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(113,918)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five months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Mr. Tang</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(128,413)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2,074,063</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(1,198,506)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875,557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334,532</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STOCK APPRECIATION RIGHTS LIABILITY</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(“COO”). See Note 15.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valuation of the Smallwood SARs is summarized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2023 - fair value</w:t>
            </w:r>
          </w:p>
        </w:tc>
        <w:tc>
          <w:tcPr>
            <w:tcW w:w="4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39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245,226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2023 -fair value</w:t>
            </w:r>
          </w:p>
        </w:tc>
        <w:tc>
          <w:tcPr>
            <w:tcW w:w="4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255,020</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39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2024 - fair value</w:t>
            </w:r>
          </w:p>
        </w:tc>
        <w:tc>
          <w:tcPr>
            <w:tcW w:w="4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373,918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39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412,850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2024 - fair value</w:t>
            </w:r>
          </w:p>
        </w:tc>
        <w:tc>
          <w:tcPr>
            <w:tcW w:w="4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786,768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3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(55,587)</w:t>
            </w:r>
          </w:p>
        </w:tc>
        <w:tc>
          <w:tcPr>
            <w:tcW w:w="10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9"/>
        </w:trPr>
        <w:tc>
          <w:tcPr>
            <w:tcW w:w="1100" w:type="dxa"/>
            <w:vAlign w:val="bottom"/>
          </w:tcPr>
          <w:p>
            <w:pPr>
              <w:spacing w:after="0"/>
              <w:rPr>
                <w:sz w:val="21"/>
                <w:szCs w:val="21"/>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4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731,181</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jc w:val="right"/>
              <w:ind w:right="263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08"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NOTES PAYABLE</w:t>
      </w:r>
    </w:p>
    <w:p>
      <w:pPr>
        <w:spacing w:after="0" w:line="225" w:lineRule="exact"/>
        <w:rPr>
          <w:sz w:val="20"/>
          <w:szCs w:val="20"/>
          <w:color w:val="auto"/>
        </w:rPr>
      </w:pPr>
    </w:p>
    <w:tbl>
      <w:tblPr>
        <w:tblLayout w:type="fixed"/>
        <w:tblInd w:w="7800" w:type="dxa"/>
        <w:tblCellMar>
          <w:top w:w="0" w:type="dxa"/>
          <w:left w:w="0" w:type="dxa"/>
          <w:bottom w:w="0" w:type="dxa"/>
          <w:right w:w="0" w:type="dxa"/>
        </w:tblCellMar>
      </w:tblP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1"/>
        </w:trPr>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60870" cy="4663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4663440"/>
                    </a:xfrm>
                    <a:prstGeom prst="rect">
                      <a:avLst/>
                    </a:prstGeom>
                    <a:noFill/>
                  </pic:spPr>
                </pic:pic>
              </a:graphicData>
            </a:graphic>
          </wp:anchor>
        </w:drawing>
      </w:r>
    </w:p>
    <w:p>
      <w:pPr>
        <w:ind w:right="3200"/>
        <w:spacing w:after="0" w:line="252" w:lineRule="auto"/>
        <w:rPr>
          <w:sz w:val="20"/>
          <w:szCs w:val="20"/>
          <w:color w:val="auto"/>
        </w:rPr>
      </w:pPr>
      <w:r>
        <w:rPr>
          <w:rFonts w:ascii="Times New Roman" w:cs="Times New Roman" w:eastAsia="Times New Roman" w:hAnsi="Times New Roman"/>
          <w:sz w:val="18"/>
          <w:szCs w:val="18"/>
          <w:color w:val="auto"/>
        </w:rPr>
        <w:t>On June 6, 2022, the Company entered into a term loan agreement with MapleMark (the “MapleMark Term Loan 1”) for the original amount of $5,324,733.On June 13, 2023, the Company entered into a term loan with MapleMark Bank (the “MapleMark Term Loan 3”) in the amount of $9,057,840. Principal and interest due on the MapleMark Term Loan 1 in the amounts of $5,324,733 and $61,715, respectively, were paid with proceeds of the MapleMark Term Loan 3. The MapleMark Term Loan 3 is payable in monthly installments of $80,025 commencing July 1, 2023 and continuing through June 13, 2048.</w:t>
      </w:r>
    </w:p>
    <w:p>
      <w:pPr>
        <w:spacing w:after="0" w:line="188" w:lineRule="exact"/>
        <w:rPr>
          <w:sz w:val="20"/>
          <w:szCs w:val="20"/>
          <w:color w:val="auto"/>
        </w:rPr>
      </w:pPr>
    </w:p>
    <w:p>
      <w:pPr>
        <w:ind w:right="3200"/>
        <w:spacing w:after="0" w:line="261" w:lineRule="auto"/>
        <w:rPr>
          <w:sz w:val="20"/>
          <w:szCs w:val="20"/>
          <w:color w:val="auto"/>
        </w:rPr>
      </w:pPr>
      <w:r>
        <w:rPr>
          <w:rFonts w:ascii="Times New Roman" w:cs="Times New Roman" w:eastAsia="Times New Roman" w:hAnsi="Times New Roman"/>
          <w:sz w:val="18"/>
          <w:szCs w:val="18"/>
          <w:color w:val="auto"/>
        </w:rPr>
        <w:t>Amounts outstanding under the Maple Mark Term Loan 3 will bear interest at the rate equal to the lesser of (a) the maximum lawful rate, or (b) the greater of (i) WSJP (the “Prime Rate” as published by The Wall Street Journal) plus 1.25% per annum or (ii) 4.50% per annum. At June 30, 2024, the interest rate was 9.25%. The MapleMark Term Loan 3 matures on June 13, 2048.</w:t>
      </w:r>
    </w:p>
    <w:p>
      <w:pPr>
        <w:spacing w:after="0" w:line="180" w:lineRule="exact"/>
        <w:rPr>
          <w:sz w:val="20"/>
          <w:szCs w:val="20"/>
          <w:color w:val="auto"/>
        </w:rPr>
      </w:pPr>
    </w:p>
    <w:p>
      <w:pPr>
        <w:ind w:right="3200"/>
        <w:spacing w:after="0" w:line="252" w:lineRule="auto"/>
        <w:rPr>
          <w:sz w:val="20"/>
          <w:szCs w:val="20"/>
          <w:color w:val="auto"/>
        </w:rPr>
      </w:pPr>
      <w:r>
        <w:rPr>
          <w:rFonts w:ascii="Times New Roman" w:cs="Times New Roman" w:eastAsia="Times New Roman" w:hAnsi="Times New Roman"/>
          <w:sz w:val="18"/>
          <w:szCs w:val="18"/>
          <w:color w:val="auto"/>
        </w:rPr>
        <w:t>The MapleMark Term Loan 3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MapleMark Term Loan 3 also provides that the Company and its subsidiaries on a consolidated basis, meet a Fixed Charge Coverage Ratio as described in detail in the MapleMark Term Loan 3. The MapleMark Term Loan 3 contains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Innovative Food Properties LLC and are secured by mortgages on their real estate located in Florida, Illinois, and Pennsylvania and substantially all of their assets, in each case, subject to certain exceptions and permitted liens.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created a discount on the MapleMark Term Loan 3 for costs in the amount of $385,803</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which will be amortized over the life of the loan. During the three and nine months ended September 30,</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2024, the Company amortized $1,284 and $2,568 of these costs, respectively, to interest expense. During</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three and nine months ended September 30, 2024, the Company made principal payments and interest</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payments in the amount of $21,330 and $64,880, respectively, on this loan. At September 30, 2024,</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on this note was $72,481.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8,920,762</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8,985,642</w:t>
            </w:r>
          </w:p>
        </w:tc>
      </w:tr>
      <w:tr>
        <w:trPr>
          <w:trHeight w:val="648"/>
        </w:trPr>
        <w:tc>
          <w:tcPr>
            <w:tcW w:w="770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69608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860"/>
          </w:cols>
          <w:pgMar w:left="460" w:top="121" w:right="5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tbl>
      <w:tblPr>
        <w:tblLayout w:type="fixed"/>
        <w:tblInd w:w="7800" w:type="dxa"/>
        <w:tblCellMar>
          <w:top w:w="0" w:type="dxa"/>
          <w:left w:w="0" w:type="dxa"/>
          <w:bottom w:w="0" w:type="dxa"/>
          <w:right w:w="0" w:type="dxa"/>
        </w:tblCellMar>
      </w:tblP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1"/>
        </w:trPr>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60870" cy="4389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4389120"/>
                    </a:xfrm>
                    <a:prstGeom prst="rect">
                      <a:avLst/>
                    </a:prstGeom>
                    <a:noFill/>
                  </pic:spPr>
                </pic:pic>
              </a:graphicData>
            </a:graphic>
          </wp:anchor>
        </w:drawing>
      </w:r>
    </w:p>
    <w:p>
      <w:pPr>
        <w:ind w:right="3300"/>
        <w:spacing w:after="0" w:line="251" w:lineRule="auto"/>
        <w:rPr>
          <w:sz w:val="20"/>
          <w:szCs w:val="20"/>
          <w:color w:val="auto"/>
        </w:rPr>
      </w:pPr>
      <w:r>
        <w:rPr>
          <w:rFonts w:ascii="Times New Roman" w:cs="Times New Roman" w:eastAsia="Times New Roman" w:hAnsi="Times New Roman"/>
          <w:sz w:val="18"/>
          <w:szCs w:val="18"/>
          <w:color w:val="auto"/>
        </w:rPr>
        <w:t>On June 6, 2022, the Company entered into a term loan agreement with MapleMark (the “MapleMark Term Loan 2”) for the original amount of $356,800. This amount was paid by MapleMark directly to Fifth Third Bank in satisfaction of the outstanding principal and interest due under existing loans with Fifth Third Bank. The MapleMark Term Loan 2 originally matured on May 27, 2023. On June 9, 2023, the United States Department of Agriculture approved the Guarantee of MapleMark Term Loan 1 which allowed the Company to extend the term of the MapleMark Term Loan 2 from May 27, 2023 to May 27, 2033 with monthly payments in the amount of approximately $2,311 commencing July 1, 2023 and continuing through June 1, 2033. On July 1, 2033, a final payment in the amount of approximately $303,536 will be due on the MapleMark Term Loan 2.</w:t>
      </w:r>
    </w:p>
    <w:p>
      <w:pPr>
        <w:spacing w:after="0" w:line="192" w:lineRule="exact"/>
        <w:rPr>
          <w:sz w:val="20"/>
          <w:szCs w:val="20"/>
          <w:color w:val="auto"/>
        </w:rPr>
      </w:pPr>
    </w:p>
    <w:p>
      <w:pPr>
        <w:ind w:right="3280"/>
        <w:spacing w:after="0" w:line="252" w:lineRule="auto"/>
        <w:rPr>
          <w:sz w:val="20"/>
          <w:szCs w:val="20"/>
          <w:color w:val="auto"/>
        </w:rPr>
      </w:pPr>
      <w:r>
        <w:rPr>
          <w:rFonts w:ascii="Times New Roman" w:cs="Times New Roman" w:eastAsia="Times New Roman" w:hAnsi="Times New Roman"/>
          <w:sz w:val="18"/>
          <w:szCs w:val="18"/>
          <w:color w:val="auto"/>
        </w:rPr>
        <w:t>The MapleMark Term Loan 2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MapleMark Term Loan 2 also provides that the Company and its subsidiaries on a consolidated basis, meet a Fixed Charge Coverage Ratio as described in detail in the loan agreements. The MapleMark Term Loan 2 contains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 The Company recorded a discount to this loan in the amount of $23,367 in connection with financing costs which was amortized to interest expense during the year ended December 31,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February 14, 2024, The Company sold its Race Track Road Facility in Bonita Springs, Florida, which</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 been pledged as security for the MapleMark Term Loan 2 (see Note 7). Proceeds from the sale in the</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$352,905 and $910 were used to pay the remaining principal and interest, respectively, on the</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MapleMark Term Loan 2. At September 30, 2024, there were no amounts due under the MapleMark Term</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2.</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$20,000. The note was due in January 2006 and the Company is currently</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accruing interest on this note at 1.9%. During the three and nine months ended September 30, 2024, the</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accrued interest in the amount of $96 and $288, respectively, on this note. At September 30,</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accrued interest on this note was $18,962.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8,940,762</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Discount</w:t>
            </w:r>
          </w:p>
        </w:tc>
        <w:tc>
          <w:tcPr>
            <w:tcW w:w="4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(378,654)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discount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8,562,108</w:t>
            </w:r>
          </w:p>
        </w:tc>
        <w:tc>
          <w:tcPr>
            <w:tcW w:w="1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8,976,041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125,259</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Long-term maturities, net of discount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8,562,108</w:t>
            </w: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8,976,041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a total of $91,251 and $95,942 accrued interest on notes payable at September 30, 2024 and December 31,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Table of Contents</w:t>
            </w:r>
          </w:p>
        </w:tc>
        <w:tc>
          <w:tcPr>
            <w:tcW w:w="47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maturities of notes payable as of September 30, 2024 are as follows:</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period ended September 30,</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vMerge w:val="restart"/>
          </w:tcPr>
          <w:p>
            <w:pPr>
              <w:spacing w:after="0"/>
              <w:rPr>
                <w:sz w:val="18"/>
                <w:szCs w:val="18"/>
                <w:color w:val="auto"/>
              </w:rPr>
            </w:pPr>
          </w:p>
        </w:tc>
        <w:tc>
          <w:tcPr>
            <w:tcW w:w="134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141,136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8,274,677</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8,940,762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total number of shares of common stock issued and outstanding was 53,977,782 and 51,133,485, respectively. As of December 31, 2023, total number of shares of common stock issued and outstanding was 52,538,100 and 49,714,929, respectively. At September 30, 2024 and December 31, 2023, a total of 2,844,297 and 2,823,171 shares of common stock, respectively, were deemed issued but not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(see Note 3). Haley had no assets or liabilities at the time of the sale; the Company valued the 21,126 shares of common stock at the market price on the date of the acquisition of $1.00 per sale and recorded a gain in the amount of $21,126 on this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30, 2024, the Company issued a net amount of 24,138 shares of common stock pursuant to the cashless exercise of 50,000 options at an exercise price of $0.60 per shares. There was no gain or loss on this transaction because the shares were issued at the fair value of $1.16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9, 2024, the Company issued a total of 1,415,544 shares of common stock pursuant to the Company’s executive stock option plans. These shares were recorded at the aggregate par value of $1,415; there was no gain or loss recorded on these transactions as the shares were issued pursuant to the terms of the compensation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 2023, the Company issued 875,000 shares of common stock, net of 207,839 shares withheld for income taxes, to its previous Chief Executive Officer compensation. These shares were previously accrued and were carried on the Company’s balance sheet as common stock to be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28, 2023, the Company issued 267,030 shares of common stock with a value of $112,169 to three employees as compensation.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2023, the Company accrued the issuance of 207,274 shares of common stock with a value of $45,680 to its then officers and directors for compensation. These shares were recorded to common stock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26, 2023, the Company issued 400,000 shares of common stock to the previous Chief Executive Officer pursuant to the SK Agreements. See Note 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2023, the Company accrued the issuance of 15,106 shares of common stock with a value of $5,000 to two directors for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shares were recorded to common stock to be issued.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based executive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Stock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3, 2023, the Company entered into an employment agreement with Bill Bennett to become the Company’s CEO. On November 3, 2023, the Company recognized that the hiring of Mr. Bennett was protracted, and the original employment agreement calculated the number of shares of common stock to be granted in connection with the CEO Stock Plan on the basis of the number of shares of common stock outstanding as of October 2022, which did not take into consideration the number of shares that were issued to a departing executive and to certain other employees of the Company thereafter. Accordingly, the number of shares issuable to Mr. Bennett at each price target was adjusted, effective as of the original date of the plan.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84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302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Multiplied by:</w:t>
            </w:r>
          </w:p>
        </w:tc>
        <w:tc>
          <w:tcPr>
            <w:tcW w:w="3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487,567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20"/>
                <w:szCs w:val="20"/>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value of the plan was determined to be $660,541. This amount will be recorded as a charge to additional paid-in capital on a straight-line basis over 34 months. During the three and nine months ended September 30, 2024, the amounts of $58,283 and $174,849, respectively, were charged to operations pursuant to the CEO Stock Plan.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7, 2023, the Company issued 678,302 shares of common stock, net of 296,831 shares withheld for income tax purposes, to its Chief Executive Officer pursuant the achievement of the $0.60 price target in the CEO Stock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2024, 731,350 shares of common stock vested pursuant to the achievement of the $0.80 price target. These shares were issued on July 9,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28, 2024, 487,567 shares of common stock vested pursuant to the achievement of the $1.00 price target. These shares were issued on July 9,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30, 2024, the price target of $1.20 per share under the CEO Stock Plan was achieved and 365,675 shares of common stock vested pursuant to this plan. These shares had not been issued as of September 30,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7, 2024, the price target of $1.40 per share under the CEO Stock Plan was achieved and 365,675 shares of common stock vested pursuant to this plan. These shares had not been issued as of September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 Stock Plan</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84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302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Multiplied by:</w:t>
            </w:r>
          </w:p>
        </w:tc>
        <w:tc>
          <w:tcPr>
            <w:tcW w:w="3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tcPr>
          <w:p>
            <w:pPr>
              <w:spacing w:after="0"/>
              <w:rPr>
                <w:sz w:val="20"/>
                <w:szCs w:val="20"/>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value of the plan was determined to be $199,951. This amount will be recorded as a charge to additional paid-in capital on a straight-line basis over 31.5 months. During the three and nine months ended September 30, 2024, the amounts of $19,043 and $57,129, respectively, were charged to operations pursuant to the COO Stock Plan.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17, 2024, 196,627 shares of common stock vested pursuant to the achievement of the $0.87 price target. These shares were issued on July 9,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25, 2024, the price target of $1.16 per share under the COO Stock Plan was achieved and 147,470 shares of common stock vested pursuant to this plan. These shares had not been issued as of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Stock Plan</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December 29, 2023, the Company entered into an employment agreement with Gary Schubert to become the Company’s CFO effective January 1, 2024. Pursuant to this agreement, Mr. Schubert was provided with an incentive compensation plan (the “CFO Stock Plan”) whereby Mr. Schubert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84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302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Multiplied by:</w:t>
            </w:r>
          </w:p>
        </w:tc>
        <w:tc>
          <w:tcPr>
            <w:tcW w:w="3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tcPr>
          <w:p>
            <w:pPr>
              <w:spacing w:after="0"/>
              <w:rPr>
                <w:sz w:val="20"/>
                <w:szCs w:val="20"/>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CFO Stock Plan had a fair value of $238,747 at inception (see “Stock Plan Valuation” section below). This amount will be amortized over the 30-month life of the plan beginning January 1, 2024. During the three and nine months ended September 30, 2024, the amounts of $23,875 and $71,625, respectively, were charged to operations pursuant to the CFO Stock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2024, the price target of $1.23 per share under the CFO Stock Plan was achieved and 131,085 shares of common stock vested pursuant to this plan. These shares had not been issued as of September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relied upon the guidance of Statement of Financial Account Standards No. 718, Compensation – Stock Compensation (“ASC 718”), in accounting for the CEO, COO, and CFO Stock Plans. A Monte Carlo market-based performance stock awards model was used in valuing the plan, with the following assumptions:</w:t>
      </w:r>
    </w:p>
    <w:p>
      <w:pPr>
        <w:spacing w:after="0" w:line="176" w:lineRule="exact"/>
        <w:rPr>
          <w:sz w:val="20"/>
          <w:szCs w:val="20"/>
          <w:color w:val="auto"/>
        </w:rPr>
      </w:pPr>
    </w:p>
    <w:p>
      <w:pPr>
        <w:ind w:left="800" w:hanging="352"/>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spacing w:after="0" w:line="161" w:lineRule="exact"/>
        <w:rPr>
          <w:rFonts w:ascii="Times New Roman" w:cs="Times New Roman" w:eastAsia="Times New Roman" w:hAnsi="Times New Roman"/>
          <w:sz w:val="18"/>
          <w:szCs w:val="18"/>
          <w:color w:val="auto"/>
        </w:rPr>
      </w:pPr>
    </w:p>
    <w:p>
      <w:pPr>
        <w:ind w:left="800" w:hanging="352"/>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award the stock upon triggering the thresholds.</w:t>
      </w:r>
    </w:p>
    <w:p>
      <w:pPr>
        <w:spacing w:after="0" w:line="225" w:lineRule="exact"/>
        <w:rPr>
          <w:rFonts w:ascii="Times New Roman" w:cs="Times New Roman" w:eastAsia="Times New Roman" w:hAnsi="Times New Roman"/>
          <w:sz w:val="18"/>
          <w:szCs w:val="18"/>
          <w:color w:val="auto"/>
        </w:rPr>
      </w:pPr>
    </w:p>
    <w:p>
      <w:pPr>
        <w:ind w:left="800" w:hanging="352"/>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attrition or forfeiture rates (i.e., pre–vesting forfeiture assumption) are assumed to be zero given the holder’s position with the Company.</w:t>
      </w:r>
    </w:p>
    <w:p>
      <w:pPr>
        <w:spacing w:after="0" w:line="161" w:lineRule="exact"/>
        <w:rPr>
          <w:rFonts w:ascii="Times New Roman" w:cs="Times New Roman" w:eastAsia="Times New Roman" w:hAnsi="Times New Roman"/>
          <w:sz w:val="18"/>
          <w:szCs w:val="18"/>
          <w:color w:val="auto"/>
        </w:rPr>
      </w:pPr>
    </w:p>
    <w:p>
      <w:pPr>
        <w:ind w:left="800" w:hanging="352"/>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projected capital events were included in the adjustments to the shares issued and outstanding in the projected simulations.</w:t>
      </w:r>
    </w:p>
    <w:p>
      <w:pPr>
        <w:spacing w:after="0" w:line="225" w:lineRule="exact"/>
        <w:rPr>
          <w:rFonts w:ascii="Times New Roman" w:cs="Times New Roman" w:eastAsia="Times New Roman" w:hAnsi="Times New Roman"/>
          <w:sz w:val="18"/>
          <w:szCs w:val="18"/>
          <w:color w:val="auto"/>
        </w:rPr>
      </w:pPr>
    </w:p>
    <w:p>
      <w:pPr>
        <w:ind w:left="800" w:hanging="352"/>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Awards/Payouts were discounted at the risk–free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CEO, COO, and CFO Stock Plans were valued utilizing the following:</w:t>
            </w:r>
          </w:p>
        </w:tc>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5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 - 113.7%</w:t>
            </w:r>
          </w:p>
        </w:tc>
      </w:tr>
      <w:tr>
        <w:trPr>
          <w:trHeight w:val="216"/>
        </w:trPr>
        <w:tc>
          <w:tcPr>
            <w:tcW w:w="1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290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- 4.45%</w:t>
            </w:r>
          </w:p>
        </w:tc>
      </w:tr>
      <w:tr>
        <w:trPr>
          <w:trHeight w:val="234"/>
        </w:trPr>
        <w:tc>
          <w:tcPr>
            <w:tcW w:w="11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Remaining expected term (years)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- 2.91</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COO. The Smallwood SARs vest upon issuance, and expire on December 31, 2026; 750,000 of the Smallwood SARs are priced at $1.50 per share, and 750,000 are priced at $2.00 per share. It is the Company’s intention to settle the Smallwood SARs in cash if the stock price exceeds the $1.50 and $2.00 per share price prior to the expiration date.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September 30, 2024, the Smallwood SARs had a fair value of $731,181; the (decrease) increase in fair value in the amount of ($55,587) and $476,161 during the three and nine months ended September 30, 2024, respectively, was charged to non-cash compensation. See Note 13.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Smallwood SARs were valued using the Black-Scholes valuation model utilizing the following variables: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9"/>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86.58 - 121.30%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- 53.3%</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- 4.74%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- 4.87%</w:t>
            </w:r>
          </w:p>
        </w:tc>
        <w:tc>
          <w:tcPr>
            <w:tcW w:w="10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Remaining expected term (years)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- 2.75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- 2.51</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4"/>
        </w:trPr>
        <w:tc>
          <w:tcPr>
            <w:tcW w:w="1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options outstanding at September 30, 2024 and the related prices for the options to purchase shares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issued by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Price of</w:t>
            </w:r>
          </w:p>
        </w:tc>
        <w:tc>
          <w:tcPr>
            <w:tcW w:w="2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gridSpan w:val="4"/>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Transactions involving stock options are summarized as follows: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1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1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 Expired</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CCEEFF"/>
            </w:tcBorders>
            <w:gridSpan w:val="7"/>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September 30, 2024 (unaudited)</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spacing w:after="0"/>
              <w:rPr>
                <w:sz w:val="20"/>
                <w:szCs w:val="20"/>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Options exercisable at September 30, 2024 (unaudited)</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1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115,000</w:t>
            </w:r>
          </w:p>
        </w:tc>
        <w:tc>
          <w:tcPr>
            <w:tcW w:w="140" w:type="dxa"/>
            <w:vAlign w:val="bottom"/>
          </w:tcPr>
          <w:p>
            <w:pPr>
              <w:spacing w:after="0"/>
              <w:rPr>
                <w:sz w:val="17"/>
                <w:szCs w:val="17"/>
                <w:color w:val="auto"/>
              </w:rPr>
            </w:pPr>
          </w:p>
        </w:tc>
        <w:tc>
          <w:tcPr>
            <w:tcW w:w="1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intrinsic value of options outstanding and exercisable at September 30, 2024 was $12,200. Aggregate intrinsic value represents the difference between the Company’s closing stock price on the last trading day of the fiscal period, which was $1.24 at September 30, 2024, and the exercise price multiplied by the number of options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charged the amount of $4,068 and $0, respectively, to operations for the vesting of stock options. During the nine months ended September 30, 2024 and 2023, the Company charged the amount of $10,170 and $0, respectively, to operations for the vesting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 to Prior Executive Officers under Separation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the Company paid cash in the amount of $83,333 and $250,000, respectively, to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Klepfish in connection with the SK Agreements.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made the following payments in connection with the Wiernasz Separation Agreement: The Company made COBRA payments on behalf of Mr. Weirnasz in the amount of $0 and $967,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made the following payments in connection with the Tang Separation Agreement: The Company paid cash to Mr. Tang in the amount of $5,178 and $113,918, respectively, and COBRA payments on behalf of Mr. Tang in the amount of $2,956 and $14,495,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MAJOR CUSTOMERS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largest customer, U.S. Foods, Inc. and its affiliates, accounted for approximately 45% and 49% of total sales in the three months ended September 30, 2024 and 2023, respectively, and 47% and 48% of total sales in the nine months ended September 30, 2024 and 2023, respectively. In addition, Gate Gourmet, the leading global provider of airline catering solutions and provisioning services for airlines, represented 18% and 16% of total sales for the three months ended September 30, 2024 and 2023, respectively, and 18% and 16% of total sales for the nine months ended September 30,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14, 2024, the Company entered into an asset purchase agreement (the “APA”) with Golden Organics, Inc., a Colorado corporation (the “Seller” or “Golden Organics”), and David Rickard (the “Owner,” together with the Seller, collectively, the “Seller Parties”).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APA, the Company has agreed to (i) purchase substantially all of the properties, business, and assets of the Seller used and/or useful in the operation of the Seller’s business of wholesaling bulk organic ingredients and other related food products and (ii) assume certain liabilities and obligations of the Seller (such transaction, the “Transaction”) for an aggregate purchase price of $1,750,000, which price is subject to net accounts receivable adjustments and consists of (a) a cash payment of $1,400,000 at the closing of the Transaction (the “Closing”) and (b) a promissory note of $350,000, payable to the Seller (the “Seller Financing Note”), with interest at six percent (6%) per annum for a term of sixty (60) months payable in equal monthly installments with the first payment due one month after the Closing. The Seller Financing Note contains default, notice and acceleration provisions, including a default interest at twelve percent (12%), a five (5) day grace period, a five percent (5%) late fee, no prepayment penalty and a right of set-off.</w:t>
      </w:r>
    </w:p>
    <w:p>
      <w:pPr>
        <w:spacing w:after="0" w:line="19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APA contains customary representations and warranties, as well as five-year non-competition and non-solicitation covenants of the Seller Parties. Under the APA, the Owner has agreed to provide assistance to the Company for a period of ninety (90) days following the Closing with respect to the transitioning of the business and developing new business opportunities without any compensation. The APA may be terminated by mutual written consent or written notice from the Company to the Seller Parties in the event of (x) a breach of contract by any Seller Party, which is not curable or not cured within 15 days, or (y) any representation or warranty that becomes untrue prior to the Closing.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this report to “we,” “us,” “IVFH” or the “Company” refer to Innovative Food Holdings, Inc. and all of its wholly-owned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(the “Private Securities Litigation Reform Act”), and is subject to the safe harbor created by that act. The safe harbor created by the Private Securities Litigation Reform Act will not apply to certain “forward-looking statements” because we issued “penny stock” (as defined in Section 3(a)(51) of the Securities Exchange Act of 1934, as amended (the “Exchange Act”), and Rule 3(a)(51-1) under the Exchange Act) during the three year period preceding the date(s) on which those forward-looking statements were first made, except to the extent otherwise specifically provided by rule, regulation or order of the Securities and Exchange Commission (the “SEC”).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0" w:lineRule="exact"/>
        <w:rPr>
          <w:sz w:val="20"/>
          <w:szCs w:val="20"/>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 and implement our business plan,</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 including sale and acquisition of certain operations,</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two major customers, anticipated to be three major customers in Q4,</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225" w:lineRule="exact"/>
        <w:rPr>
          <w:rFonts w:ascii="Times New Roman" w:cs="Times New Roman" w:eastAsia="Times New Roman" w:hAnsi="Times New Roman"/>
          <w:sz w:val="18"/>
          <w:szCs w:val="18"/>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225" w:lineRule="exact"/>
        <w:rPr>
          <w:rFonts w:ascii="Times New Roman" w:cs="Times New Roman" w:eastAsia="Times New Roman" w:hAnsi="Times New Roman"/>
          <w:sz w:val="18"/>
          <w:szCs w:val="18"/>
          <w:color w:val="auto"/>
        </w:rPr>
      </w:pPr>
    </w:p>
    <w:p>
      <w:pPr>
        <w:jc w:val="both"/>
        <w:ind w:left="480" w:right="20" w:hanging="477"/>
        <w:spacing w:after="0" w:line="266"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in the Preparation of Financial Statements</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Doubtful Accounts Receivable</w:t>
      </w:r>
    </w:p>
    <w:p>
      <w:pPr>
        <w:spacing w:after="0" w:line="2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 xml:space="preserve">The Company provides an allowance for doubtful accounts equal to the estimated uncollectible amounts pursuant to the guidance of Accounting Standards Update (“ASU”) 2016-13,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Credit Losses</w:t>
      </w:r>
      <w:r>
        <w:rPr>
          <w:rFonts w:ascii="Times New Roman" w:cs="Times New Roman" w:eastAsia="Times New Roman" w:hAnsi="Times New Roman"/>
          <w:sz w:val="17"/>
          <w:szCs w:val="17"/>
          <w:color w:val="auto"/>
        </w:rPr>
        <w:t xml:space="preserve"> (Topic 326), as codified in Accounts Standards Codification (“ASC”) 326, </w:t>
      </w:r>
      <w:r>
        <w:rPr>
          <w:rFonts w:ascii="Times New Roman" w:cs="Times New Roman" w:eastAsia="Times New Roman" w:hAnsi="Times New Roman"/>
          <w:sz w:val="17"/>
          <w:szCs w:val="17"/>
          <w:i w:val="1"/>
          <w:iCs w:val="1"/>
          <w:color w:val="auto"/>
        </w:rPr>
        <w:t xml:space="preserve">Financial Instruments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Credit Losses</w:t>
      </w:r>
      <w:r>
        <w:rPr>
          <w:rFonts w:ascii="Times New Roman" w:cs="Times New Roman" w:eastAsia="Times New Roman" w:hAnsi="Times New Roman"/>
          <w:sz w:val="17"/>
          <w:szCs w:val="17"/>
          <w:color w:val="auto"/>
        </w:rPr>
        <w:t>. Under ASC 326, the Company utilizes a current and expected credit loss (CECL) impairment model.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$87,149 and $46,477 at September 30, 2024 and December 31,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build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IVFH team is adept at evaluating and certifying the food safety and supply chain capabilities of small batch producers who don’t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leverage this unique, premium assortment to serve the needs of Professional Chefs in settings such as restaurants, hotels, country clubs, national chain accounts, casinos, hospitals and catering houses. We provide these premium customers with products that can’t typically be found through their broadline distributor’s warehouse assortment. We distribute these products directly to Professional Chefs in Chicago through our subsidiary, Artisan Specialty Foods, Inc., and nationally through our e-commerce businesses on Amazon.com and our own website. We also drop ship specialty foods to Professional Chefs nationally through the websites of broadline distributors, such as US Foods, Inc. Lastly, we sell these food to large retailers for resale on their shelves to the end customer. Between this variety of sales channels, we are able to serve our Professional Chef customers wherever they are located.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our new retail business, as well as our airline catering distribution business, out of our 200,000 square foot facility in Mountain Top, Pennsylvania,. We also operate warehouse activities in our owned 28,000 square foot facility in the greater Chicago area. Once our acquisition of Golden Organics closes, we will have another warehouse, operating out of Denver, CO, measuring approximately 20,000 square feet. We have the capabilities to pack and ship frozen, refrigerated, and ambient products, enabling us to sell a broad range of specialty foods. We also have GFSI/SQF certifications, allowing compatibility with the highest standards of food handling supply chains in the world, and the quality and food safety that our premium customers expect from us. These warehouses have the ability to ship packages and pallets of all sizes through overnight shipping. We also leverage our own fleet of trucks to deliver directly to our Professional Chef customers within our reach.</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built a team consisting of passionate, committed, and food-obsessed people: our average tenure (outside of seasonal workers) across the Company is over five years. Our merchandising team has deep connections within the specialty food space around the globe. Our customer service and sales teams, as ex-chefs themselves, go beyond customer service to offer our Professional Chefs customer support, menu ideas, and preparation guidance.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involve risks and uncertainties. Our future results could differ materially from the forward-looking statements discussed in this report. This discussion should be read in conjunction with our consolidated financial statements, the notes thereto and other financial information included elsewhere in the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Revenue increased by $51,282, or approximately 0.3%, to $17.0 million for the three months ended September 30, 2024 from $17.0 million in the prior year. During the third quarter of 2024, our consumer e-commerce business experienced a decline of $704 thousand, representing a 38.6% decrease, as we intentionally continued to maintain the business operations on a shoestring, and completed the sale of the business. With the recent announcement and sale of our direct-to-consumer igourmet assets, we have a definitive timeline of when these headwinds will subside. Despite the declines from the direct-to-consumer e-commerce business, our Specialty Foodservice business has shown significant progress, growing by 5.5% and generating an additional $808 thousand in sales for the quarter. This growth was driven by accelerating growth in our airline caterer distribution business, material new growth in the broadline distributor partnerships, and continued growth in our Artisan Specialty Foods business in Chicago. While this growth was somewhat offset by the continued challenges associated with the transition of the technology platform of one of our largest customers, these negative year-over-year trends softened relative to the second quarter of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saw a decrease in our logistics business, from $358,717 in the three months ended September 30, 2023 to $305,973 in the three months ended September 30, 2024. This decline was due to softness in demand from our existing customers, which resulted in less volume throughput for our logistics services. Though small, we continue to seek new opportunities to leverage our logistics services in order to better leverage existing fixed assets.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Transactions with Major Customers</w:t>
      </w:r>
      <w:r>
        <w:rPr>
          <w:rFonts w:ascii="Times New Roman" w:cs="Times New Roman" w:eastAsia="Times New Roman" w:hAnsi="Times New Roman"/>
          <w:sz w:val="18"/>
          <w:szCs w:val="18"/>
          <w:color w:val="auto"/>
        </w:rPr>
        <w:t>” and the SEC mandated FR-60 disclosures following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section for a further discussion of the significant customer concentrations, loss of significant customer, critical accounting policies and estimates, and other factors that could affect future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2024, our cost of goods sold was $12.7 million, reflecting an increase of $0.3 million or approximately 2.5% from $12.4 million for the same period in 2023. The cost of goods sold comprised the following expenses for the three months ended September 30, 2024: $9.9 million for cost of goods; $2.7 million for shipping, delivery, handling, and purchase allowance expenses; and $0.1 million for logistics-related costs. Gross margins as a percentage of sales decreased during the current period to 25.2%, compared to 26.8% in the comparable period, representing a decline of 158 basis points, driven by our continued ramp down of the consumer e-commerce business, some one-time benefits in our Specialty Foodservice business last year, and margin investments to acquire new retail business customers. Although our margins have declined, they continue to stabilize as we transition away from the direct-to-consumer e-commerce business. In the three months ended September 30, 2024, we also benefited from a renegotiated contract with our shipping provider, which significantly reduced shipping expenses.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(“SG&amp;A”) decreased by $0.6 million, or 14.1%, to $3.6 million during the three months ended September 30, 2024 compared to $4.2 million for the three months ended September 30, 2023. SG&amp;A as a percentage of sales decreased from 24.5% of sales during the three months ended September 30, 2023 to 21.0% of sales during the current period as we continued to thoughtfully reduce our expense structure. The decrease in SG&amp;A was primarily due to a decrease in non-cash compensation of $0.3 million, a decrease advertising of $0.2 million, a decrease in payroll and related costs of $0.1 million, a decrease in amortization and depreciation of $0.1 million, and a decrease in office, facilities, and vehicles costs of $0.1 million. These decreases were partially offset by an increase in legal and professional fees of $0.2 million related to our acquisition and divestiture activity. Excluding non-cash compensation and non-recurring legal &amp; transactional expenses, SG&amp;A would have decreased by $0.5 million, or 11.0%, resulting in a 222 basis point reduction in SG&amp;A as a percentage of sales compared to the comparable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net of interest income, decreased by $43,719, or approximately 16.8%, to $217,275 during the three months ended September 30, 2024, compared to $260,994 during the three months ended September 30, 2023. There was an increase in interest income in the amount of $11,403 due to higher cash balances during the period. There was also a decrease in interest expense accrued or paid on the Company’s commercial loans and notes payable in the amount of $32,314 due to lower principal balances, driven by the payoff of the Company’s loan associated with its Florida office building, which was sold in January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sold certain intangible assets of igourmet for a gain in the amount of $834,463. There was no comparable transaction in the prior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Leasing Income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income in the amount of $1,900 in connection with the lease of space in our Mountaintop warehouse facility compared to $2,389 in the prior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from Continuing Operations</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reasons above, the Company had net income from continuing operations for the three months ended September 30, 2024 of $1,332,983 compared to a net income from continuing operations of $123,544 during the three months ended September 30, 2023. The net income from continuing operations for the three months ended September 30, 2024 includes a net total of $98,702 in non-cash charges: non-cash compensation in the amount of $49,682, depreciation and amortization expense of $42,926, provision for doubtful accounts of $4,812, and amortization of the discount on notes payable term loans of $1,282. The net income from continuing operations for the three months ended September 30, 2023 includes a total of $542,805 in non-cash charges, consisting of non-cash compensation in the amount of $350,053, depreciation and amortization expense of $142,179, provision for doubtful accounts of $49,289, and amortization of the discount on notes payable of $1,284.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from Discontinued Operations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 Company had net income from discontinued operations in the amount of $1,847, a decrease in the amount of $9,342, or approximately 83.5%, compared to net income from discontinue operations in the amount of $11,189 for the three months ended September 30, 2023. Although we have sold the igourmet intangible assets, the business is not able to be reported in discontinued operations as it is part of our Innovative Gourmet entity that continues to operate and service B2B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Nine Months Ended September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Revenue decreased by $2.8 million, or approximately 5.3%, to $49.4 million for the nine months ended September 30, 2024 from $52.2 million in the prior year. E-commerce was the primary driver of our year-over-year decline with revenue decreasing by 44.3% and $2.9 million. On the e-commerce business, as previously stated, we finalized the sale of the igourmet assets which will continue to be reported in continuing operations which will result in a revenue headwind of $7.4 million over the next 12 months. On the Specialty Foodservice business, our revenues have increased by 0.7%, as we return to positive growth on the year. As previously stated on earnings calls, we expect to deliver positive growth for the Specialty Foodservice business for the 2024 year.</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assess the potential of new revenue sources from new and growing broadline relationships, retail partnerships, airline caterer distribution growth, and other initiatives. We expect these new revenue sources to accelerate significantly in Q4.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see declines in our logistics business (from $877,729 for the nine months ended September 30, 2023 to $763,441 for the nine months ended September 30, 2024) as our customers have faced demand softness on their side.</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Transactions with Major Customers</w:t>
      </w:r>
      <w:r>
        <w:rPr>
          <w:rFonts w:ascii="Times New Roman" w:cs="Times New Roman" w:eastAsia="Times New Roman" w:hAnsi="Times New Roman"/>
          <w:sz w:val="18"/>
          <w:szCs w:val="18"/>
          <w:color w:val="auto"/>
        </w:rPr>
        <w:t>” and the SEC mandated FR-60 disclosures following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section for a further discussion of the significant customer concentrations, loss of significant customer, critical accounting policies and estimates, and other factors that could affect future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cost of goods sold for the nine months ended September 30, 2024 was $37.3 million, a decrease of $2.0 million, or approximately 5.2%, compared to cost of goods sold of $39.4 million for the nine months ended September 30, 2023. Cost of goods sold was made up of the following expenses for the nine months ended September 30, 2024: cost of goods of specialty, meat, game, cheese, seafood, poultry and other sales categories in the amount of $27.9 million; shipping, delivery, handling, and purchase allowance expenses in the amount of $9.0 million; and cost of goods associated with logistics of $0.4 million. Gross margins as a percentage of sales remained at 24.5% during the current period, which was no change from the comparable period, as we continued implementing our strategy to improve cost controls, better manage pricing, and focus more on product mix. After adjusting for the second quarter 2024 liquidation efforts, in the amount of $0.1 million, our YTD gross margins improved by 119 basis points versus comparable period. As we launch our new retail business, we expect margin compression in the fourth quarter of 2024 as we work to optimize our business model.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decreased by $1.3 million, or approximately 10.4%, to $11.5 million during the nine months ended September 30, 2024 compared to $12.8 million for the nine months ended September 30, 2023. The decrease in SG&amp;A was primarily due to a decrease in payroll and related costs of $0.5 million; advertising costs of $0.5 million; office, facilities, and vehicles of $0.3 million; amortization and depreciation of $0.2 million; and computer and IT costs of $0.1 million. These decreases were partially offset by increases in professional and legal fees of $0.1 million, associated with divestiture and acquisition activity, and non-cash compensation of $0.2 million. SG&amp;A as a percentage of sales decreased from 24.5% of sales during the three months ended September 30, 2023 to 23.2% of sales during the current period as we continued to thoughtfully reduce our expense structure.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 Costs – Executive Officers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entered into a separation agreement with its prior CEO and current board member with a total cost of $1,819,199, consisting of $1,251,199 in cash payments, $1,199 of COBRA health insurance payments, and stock grants with a value of $568,000. Also during the nine months ended September 30, 2023, the Company entered into a separation agreement with its prior Director of Strategic Acquisitions and board member consisting of cash payments of $100,000 and $26,451 of COBRA health insurance payments. The aggregate separation costs for the nine months ended September 30, 2023 was $1,945,650; there were no such costs during the current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Interest expense, net of interest income, decreased by $1,143, or approximately 0.2%, to $642,212 during the nine months ended September 30, 2024, compared to $643,355 during the nine months ended September 30, 2023. The decrease was due primarily to a lower principal balances on the Company’s commercial loans and notes payable. In addition, the Company’s interest income increased by 37,517 during the period to $42,735 compared to $5,218 in the prior period; the increase was due to an increase in cash balances.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Assets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its property located in Bonita Springs, Florida for a gain in the amount of $1,807,516. In addition, the Company sold certain intangible assets of igourmet for a gain in the amount of $834,463. There were no comparable transactions in the prior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Subsidiary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its subsidiary, Haley Group, Inc. (“Haley”); consideration for the sale was the return to the Company of 21,126 shares of the Company’s common stock with a market value at the time of the sale of $21,126. The Company recorded a gain on the sale of Haley in the amount of $21,126. There was no comparable transaction in the prior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Leasing Income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recognized income in the amount of $5,700 in connection with the lease of space in our Mountaintop warehouse facility compared to $6,189 in the prior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paid federal income taxes in the amount of $15,834 in connection with an audit of the year ended December 31, 2017. There was no such charge during the current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 from Continuing Operations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reasons above, the Company had net income from continuing operations for the nine months ended September 30, 2024 of $2,666,004 compared to a net loss from continuing operations of $(2,580,411) during the nine ended September 30, 2023. The net income (loss) for the nine months ended September 30, 2024 includes a net total of $1,047,973 in non-cash charges: non-cash compensation in the amount of $791,968, depreciation and amortization expense of $211,488, provision for doubtful accounts of $40,667, and amortization of the discount on notes payable term loans of $3,850. The net loss from continuing operations for the nine months ended September 30, 2023 includes a total of $1,102,174 in non-cash charges, consisting of non-cash compensation in the amount of $602,932, depreciation and amortization expense of $398,054, provision for doubtful accounts of $68,181, and amortization of prepaid loan fees in the amount of $2,013.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from Discontinued Operations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Company had a net loss from discontinued operations in the amount of $(8,624), a decrease in the amount of $91,257, or approximately 91.4%, compared to a net loss from discontinue operations in the amount of $(100,151) for the nine months ended September 30,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at September 30, 2024</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 had current assets of $19,382,145, consisting of cash and cash equivalents of $4,820,970, trade accounts receivable, net, of $4,965,381, inventory of $3,134,237, other current assets of $519,624, and assets held for sale of $5,941,933. Also at September 30, 2024, the Company had current liabilities of $6,426,045, consisting of trade payables and accrued liabilities of $4,090,153, current portion of accrued separation costs – related parties of $354,532, accrued interest of $91,251, deferred revenue of $886,787, liability for stock appreciation rights of $731,181, current portion of notes payable of $105,259, current portion of operating lease liability of $14,898, and current portion of financing lease liability of $151,984. While the Company is enhancing its operational performance and has restructured its balance sheet, the onboarding of new customers with increasing working capital requirements and the acquisition of Golden Organics necessitate careful management of short-term liquidity. Additionally, the Company is actively exploring various avenues to raise additional capital to support future growth and ensure a robust level of liquidity.</w:t>
      </w:r>
    </w:p>
    <w:p>
      <w:pPr>
        <w:spacing w:after="0" w:line="18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had cash used in operating activities of $2,717,332. Cash flow used in operations consisted of the Company’s consolidated net income of $2,657,380 less gain on disposition of assets of $2,755,166 and gain on sale of subsidiary of $21,126, plus non-cash charges for depreciation and amortization of $211,488, increase in value of stock appreciation rights of $476,161, stock-based compensation in the amount of $313,773, provision for doubtful accounts of $40,667, amortization of right-of-use assets of $12,740, and amortization of discount on notes payable of $3,850. The Company’s cash position also decreased by $3,657,099 as a result of changes in the components of current assets and current liabilities, primarily the result of a net paydown of $2,168,431 in accounts payable and accrued liabilities and an increase of $697,821 in accounts receivable. Excluding $379,381 in payments associated with the separation and hiring of key officers referenced earlier, the Company would have recorded cash used in operating activities of $2,337,951 for the nine months ended September 30, 2024, an increase of $141,672 compared to $2,196,279 during the nine months ended September 30, 2023.</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had cash provided by investing activities of $2,316,923 for the nine months ended September 30, 2024, which consisted of cash received from the sale of our Bonita Springs property in the amount of $2,101,185 net of the payoff of the related secured loan in the amount of $353,815, including accrued interest; and cash from the sale of intangible assets of $525,000. The Company also purchased property and equipment in the amount of $309,262 during the period.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cash used in financing activities of $200,956 for the nine months ended September 30, 2024, which consisted of payments on notes payable and financing lease in the amount of $136,078 and $64,878,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our net working capital stood at a positive $12,956,100, marking a significant increase from the $5,000,156 recorded on December 31, 2023. This improvement of $7,955,944 can be largely attributed to the reclassification of our Mountaintop facility as an asset held for sale, with a book value of $5,941,933 as of September 30,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the Company reported a profit from continuing operations amounting to $2,666,004. This figure includes a gain of $1,807,516 from the sale of our Race Track Road Property, a gain from the sale of intangible assets held by igourmet of $834,463, non-cash compensation expense of $791,968, and depreciation and amortization expenses of $429,048. This is a marked improvement compared to the loss of $2,680,562 from continuing operations during the same period in the previous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cash &amp; cash equivalent totaling $4,820,970, the Company has access to an untapped $1.5 million revolving credit facility with MapleMark Bank.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2024, management is focused on continuing the Stabilization phase of its three-phase plan, focusing on the fundamentals of running a cash flow positive business, serving Professional Chefs, including a focus on improving margins. Management expects to continue to expand the Professional Chefs business by entering additional specialty foods markets, serving new customers, and launching new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assurances can be given that any of these plans will come to fruition or that if implemented they will necessarily yield positive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Major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with a major customer and related economic dependence information is set forth below and following our discussion of Liquidity and Capital Resources.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largest customer, U.S. Foods, Inc. and its affiliates, accounted for approximately 45% and 49% of total sales in the three months ended September 30, 2024 and 2023, respectively, and 47% and 48% of total sales in the nine months ended September 30, 2024 and 2023, respectively. In addition, Gate Gourmet, the leading global provider of airline catering solutions and provisioning services for airlines, represented 18% and 16% of total sales for the three months ended September 30, 2024 and 2023, respectively, and 18% and 16% of total sales for the nine months ended September 30,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continue to be a key focus for the Company this year. However, no assurance can be given that we will be successful and inflationary pressure on our profits will likely continue through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business and success is subject to numerous risk factors as detailed in its Annual Report on Form 10-K for the year ended December 31, 2023 and other of its Current Reports on Form 8-K, all of which reports are available at no cost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by us in the reports that we file or submit pursuant to the requirements of the Exchange Act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as defined in Rule 13a-15(f) and 15d-(f) under the Exchange Act) as of the end of the period covered by this report, have determined that our disclosure controls and procedures were effective at September 30, 2024 at the reasonable assurance level. In making this assessment, our management used the criteria set forth by the Committee of Sponsoring Organizations of the Treadway Commission in Internal Control-Integrated Framework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Exchange Act Rules 13a-15(d) and 15d-15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quarterly period ended September 30, 2024, none of our directors or officers (as defined in Rule 16a-1(f) promulgated under the Exchange Act) adopted or terminated any “Rule 10b5-1 trading arrangement” or any “non-Rule 10b5-1 trading arrangement,” as each term is defined in Item 408 of Regulation 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8" w:name="page39"/>
    <w:bookmarkEnd w:id="38"/>
    <w:tbl>
      <w:tblPr>
        <w:tblLayout w:type="fixed"/>
        <w:tblInd w:w="2" w:type="dxa"/>
        <w:tblCellMar>
          <w:top w:w="0" w:type="dxa"/>
          <w:left w:w="0" w:type="dxa"/>
          <w:bottom w:w="0" w:type="dxa"/>
          <w:right w:w="0" w:type="dxa"/>
        </w:tblCellMar>
      </w:tblPr>
      <w:tr>
        <w:trPr>
          <w:trHeight w:val="207"/>
        </w:trPr>
        <w:tc>
          <w:tcPr>
            <w:tcW w:w="14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Table of Contents</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9"/>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Articles of Incorporation (incorporated by reference to Exhibit 3.1 of the Company’s Annual Report on Form 10-KSB for the year</w:t>
              </w:r>
            </w:hyperlink>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ended December 31, 2004 filed with the Securities and Exchange Commission on September 28, 2005).</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7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Amended Bylaws of the Company (incorporated by reference to Exhibit 3.2 of the Company’s Annual Report on Form 10-K for</w:t>
              </w:r>
            </w:hyperlink>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the year ended December 31, 2010 filed with the SEC on March 16, 2011).</w:t>
              </w:r>
            </w:hyperlink>
          </w:p>
        </w:tc>
        <w:tc>
          <w:tcPr>
            <w:tcW w:w="240" w:type="dxa"/>
            <w:vAlign w:val="bottom"/>
            <w:gridSpan w:val="3"/>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93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Bylaws of the Company (incorporated by reference to Exhibit 3.1 of the Company’s Current Report on Form 8-K filed</w:t>
              </w:r>
            </w:hyperlink>
          </w:p>
        </w:tc>
        <w:tc>
          <w:tcPr>
            <w:tcW w:w="180" w:type="dxa"/>
            <w:vAlign w:val="bottom"/>
            <w:gridSpan w:val="2"/>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with the SEC on March 13, 2023).</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Asset Purchase Agreement between igourmet and Advansiv Gourmet Group, Inc., dated August 6, 2024 (incorporated by reference</w:t>
              </w:r>
            </w:hyperlink>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to Exhibit 10.1 of the Company’s Current Report on Form 8-K filed with the SEC on August 12, 2024).</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Asset Purchase Agreement, dated August 30, 2024, between Innovative Gourmet LLC, iGourmet LLC and</w:t>
              </w:r>
            </w:hyperlink>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Advansiv Gourmet Group, Inc. (incorporated by reference to Exhibit 10.1 of the Company’s Current Report on Form 8-K filed</w:t>
              </w:r>
            </w:hyperlink>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with the SEC on September 5, 2024).</w:t>
              </w:r>
            </w:hyperlink>
          </w:p>
        </w:tc>
        <w:tc>
          <w:tcPr>
            <w:tcW w:w="6780" w:type="dxa"/>
            <w:vAlign w:val="bottom"/>
            <w:gridSpan w:val="9"/>
          </w:tcPr>
          <w:p>
            <w:pPr>
              <w:spacing w:after="0"/>
              <w:rPr>
                <w:sz w:val="17"/>
                <w:szCs w:val="17"/>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Transition Services Agreement, dated August 30, 2024, between Innovative Gourmet LLC, iGourmet LLC and Advansiv Gourmet</w:t>
              </w:r>
            </w:hyperlink>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Group, Inc. (incorporated by reference to Exhibit 10.2 of the Company’s Current Report on Form 8-K filed with the SEC on</w:t>
              </w:r>
            </w:hyperlink>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gridSpan w:val="13"/>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September 5, 2024).</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Asset Purchase Agreement, dated October 14, 2024, by and among the Company, Golden Organics, Inc. and David Rickard</w:t>
              </w:r>
            </w:hyperlink>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(incorporated by reference to Exhibit 10.1 of the Company’s Current Report on Form 8-K filed with the SEC on October 18, 2024).</w:t>
              </w:r>
            </w:hyperlink>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Form of Seller Financing Note (incorporated by reference to Exhibit 10.2 of the Company’s Current Report on Form 8-K filed with</w:t>
              </w:r>
            </w:hyperlink>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the SEC on October 18, 2024).</w:t>
              </w:r>
            </w:hyperlink>
          </w:p>
        </w:tc>
        <w:tc>
          <w:tcPr>
            <w:tcW w:w="7240" w:type="dxa"/>
            <w:vAlign w:val="bottom"/>
            <w:gridSpan w:val="11"/>
          </w:tcPr>
          <w:p>
            <w:pPr>
              <w:spacing w:after="0"/>
              <w:rPr>
                <w:sz w:val="17"/>
                <w:szCs w:val="17"/>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93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Rule 13a-14(a) and Rule 15d-14(a) under the Securities Exchange Act</w:t>
            </w:r>
          </w:p>
        </w:tc>
        <w:tc>
          <w:tcPr>
            <w:tcW w:w="12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of 1934, as adopted pursuant to Section 302 of the Sarbanes-Oxley Act of 2002.</w:t>
            </w: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4300" w:type="dxa"/>
            <w:vAlign w:val="bottom"/>
            <w:gridSpan w:val="5"/>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and Rule 15d-14(a) under the Securities Exchange Act</w:t>
            </w:r>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of 1934, as adopted pursuant to Section 302 of the Sarbanes-Oxley Act of 2002.</w:t>
            </w:r>
          </w:p>
        </w:tc>
        <w:tc>
          <w:tcPr>
            <w:tcW w:w="180" w:type="dxa"/>
            <w:vAlign w:val="bottom"/>
            <w:gridSpan w:val="2"/>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4300" w:type="dxa"/>
            <w:vAlign w:val="bottom"/>
            <w:gridSpan w:val="5"/>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18 U.S.C. 1350, as adopted pursuant to Section 906 of the Sarbanes-</w:t>
            </w:r>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7760" w:type="dxa"/>
            <w:vAlign w:val="bottom"/>
            <w:tcBorders>
              <w:top w:val="single" w:sz="8" w:color="0000EE"/>
            </w:tcBorders>
            <w:gridSpan w:val="8"/>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4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9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18 U.S.C. 1350, as adopted pursuant to Section 906 of the Sarbanes-</w:t>
            </w:r>
          </w:p>
        </w:tc>
        <w:tc>
          <w:tcPr>
            <w:tcW w:w="300" w:type="dxa"/>
            <w:vAlign w:val="bottom"/>
            <w:gridSpan w:val="5"/>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8020" w:type="dxa"/>
            <w:vAlign w:val="bottom"/>
            <w:gridSpan w:val="12"/>
          </w:tcPr>
          <w:p>
            <w:pPr>
              <w:spacing w:after="0"/>
              <w:rPr>
                <w:sz w:val="17"/>
                <w:szCs w:val="17"/>
                <w:color w:val="auto"/>
              </w:rPr>
            </w:pPr>
          </w:p>
        </w:tc>
      </w:tr>
      <w:tr>
        <w:trPr>
          <w:trHeight w:val="453"/>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2" w:hanging="2"/>
        <w:spacing w:after="0" w:line="250" w:lineRule="auto"/>
        <w:tabs>
          <w:tab w:leader="none" w:pos="1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omitted pursuant to Item 601(b)(10)(iv) of Regulation S-K because they are not material and are the type that the Company treats as private or confidential. The Company hereby agrees to furnish a copy of any omitted portion to the SEC upon request.</w:t>
      </w:r>
    </w:p>
    <w:p>
      <w:pPr>
        <w:ind w:left="2"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the exhibit have been omitted pursuant to Item 601(a)(6) of Regulation S-K. The Company hereby agrees to furnish a copy of any omitted portion to the SEC upon request.</w:t>
      </w:r>
    </w:p>
    <w:p>
      <w:pPr>
        <w:sectPr>
          <w:pgSz w:w="11900" w:h="16838" w:orient="portrait"/>
          <w:cols w:equalWidth="0" w:num="1">
            <w:col w:w="10962"/>
          </w:cols>
          <w:pgMar w:left="458" w:top="108" w:right="479" w:bottom="1440" w:gutter="0" w:footer="0" w:header="0"/>
        </w:sectPr>
      </w:pPr>
    </w:p>
    <w:p>
      <w:pPr>
        <w:spacing w:after="0" w:line="18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08" w:right="4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3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William Bennett</w:t>
            </w: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Robert William Bennett</w:t>
            </w: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Schubert</w:t>
            </w: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Gary Schubert</w:t>
            </w: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846"/>
        </w:trPr>
        <w:tc>
          <w:tcPr>
            <w:tcW w:w="3620" w:type="dxa"/>
            <w:vAlign w:val="bottom"/>
          </w:tcPr>
          <w:p>
            <w:pPr>
              <w:spacing w:after="0"/>
              <w:rPr>
                <w:sz w:val="24"/>
                <w:szCs w:val="24"/>
                <w:color w:val="auto"/>
              </w:rPr>
            </w:pPr>
          </w:p>
        </w:tc>
        <w:tc>
          <w:tcPr>
            <w:tcW w:w="45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0960"/>
          </w:cols>
          <w:pgMar w:left="460" w:top="12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480" w:right="11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RULE 13a-14(a) AND RULE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William Bennett, certify that:</w:t>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Robert William Bennett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480" w:right="11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RULE 13a-14(a) AND RULE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Gary Schubert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(the “Company”) on Form 10-Q for the period ended September 30, 2024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Robert William Bennett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(the “Company”) on Form 10-Q for the period ended September 30, 2024 as filed with the Securities and Exchange Commission on the date hereof (the “Report”), I, Gary Schubert,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Gary Schubert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57" Type="http://schemas.openxmlformats.org/officeDocument/2006/relationships/hyperlink" Target="http://www.sec.gov/ix?doc=/Archives/edgar/data/312257/000118518524000799/innovfood20240630_10q.htm" TargetMode="External"/><Relationship Id="rId58" Type="http://schemas.openxmlformats.org/officeDocument/2006/relationships/hyperlink" Target="http://www.sec.gov/Archives/edgar/data/312257/000118518524000784/ex_711079.htm" TargetMode="External"/><Relationship Id="rId59" Type="http://schemas.openxmlformats.org/officeDocument/2006/relationships/hyperlink" Target="http://www.sec.gov/Archives/edgar/data/312257/000118518524000868/ex_721326.htm" TargetMode="External"/><Relationship Id="rId60" Type="http://schemas.openxmlformats.org/officeDocument/2006/relationships/hyperlink" Target="http://www.sec.gov/Archives/edgar/data/312257/000118518524000868/ex_721327.htm" TargetMode="External"/><Relationship Id="rId61" Type="http://schemas.openxmlformats.org/officeDocument/2006/relationships/hyperlink" Target="http://www.sec.gov/Archives/edgar/data/312257/000118518524001009/ex_734542.htm" TargetMode="External"/><Relationship Id="rId62" Type="http://schemas.openxmlformats.org/officeDocument/2006/relationships/hyperlink" Target="http://www.sec.gov/Archives/edgar/data/312257/000118518524001009/ex_7345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2024-11-13T12:15:12Z</dcterms:created>
  <dcterms:modified xsi:type="dcterms:W3CDTF">2024-11-13T12:15:12Z</dcterms:modified>
</cp:coreProperties>
</file>