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163830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left="3820" w:right="720" w:hanging="3090"/>
        <w:spacing w:after="0" w:line="479" w:lineRule="auto"/>
        <w:tabs>
          <w:tab w:leader="none" w:pos="94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AND EXCHANGE ACT OF 1934 For the quarterly period ended March 31, 2026</w:t>
      </w:r>
    </w:p>
    <w:p>
      <w:pPr>
        <w:spacing w:after="0" w:line="38" w:lineRule="exact"/>
        <w:rPr>
          <w:sz w:val="24"/>
          <w:szCs w:val="24"/>
          <w:color w:val="auto"/>
        </w:rPr>
      </w:pPr>
    </w:p>
    <w:p>
      <w:pPr>
        <w:ind w:left="1720" w:hanging="211"/>
        <w:spacing w:after="0"/>
        <w:tabs>
          <w:tab w:leader="none" w:pos="17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EXCHANGE ACT OF 1934</w:t>
      </w:r>
    </w:p>
    <w:p>
      <w:pPr>
        <w:spacing w:after="0" w:line="225" w:lineRule="exact"/>
        <w:rPr>
          <w:sz w:val="24"/>
          <w:szCs w:val="24"/>
          <w:color w:val="auto"/>
        </w:rPr>
      </w:pPr>
    </w:p>
    <w:p>
      <w:pPr>
        <w:ind w:left="356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3762375</wp:posOffset>
            </wp:positionH>
            <wp:positionV relativeFrom="paragraph">
              <wp:posOffset>-5080</wp:posOffset>
            </wp:positionV>
            <wp:extent cx="1123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000-09376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156845</wp:posOffset>
            </wp:positionV>
            <wp:extent cx="1354455" cy="600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445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INNOVATIVE FOOD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35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20-1167761</w:t>
            </w:r>
          </w:p>
        </w:tc>
      </w:tr>
      <w:tr>
        <w:trPr>
          <w:trHeight w:val="191"/>
        </w:trPr>
        <w:tc>
          <w:tcPr>
            <w:tcW w:w="5520" w:type="dxa"/>
            <w:vAlign w:val="bottom"/>
            <w:tcBorders>
              <w:top w:val="single" w:sz="8" w:color="auto"/>
            </w:tcBorders>
            <w:gridSpan w:val="2"/>
          </w:tcPr>
          <w:p>
            <w:pPr>
              <w:ind w:left="170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6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2528 S. 27th Ave. Broadview, Illinois</w:t>
            </w:r>
          </w:p>
        </w:tc>
        <w:tc>
          <w:tcPr>
            <w:tcW w:w="35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60155</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tcPr>
          <w:p>
            <w:pPr>
              <w:jc w:val="center"/>
              <w:ind w:right="183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(239) 596-0204</w:t>
            </w:r>
          </w:p>
        </w:tc>
        <w:tc>
          <w:tcPr>
            <w:tcW w:w="15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7"/>
        </w:trPr>
        <w:tc>
          <w:tcPr>
            <w:tcW w:w="768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93" w:right="339" w:bottom="1440" w:gutter="0" w:footer="0" w:header="0"/>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4900" w:space="720"/>
            <w:col w:w="5620"/>
          </w:cols>
          <w:pgMar w:left="320" w:top="493"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Regulation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As of May 15, 2026, there were 54,649,479 shares of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60" w:type="dxa"/>
            <w:vAlign w:val="bottom"/>
            <w:gridSpan w:val="6"/>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8"/>
              </w:rPr>
              <w:t>INNOVATIVE FOOD HOLDINGS, INC.</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360" w:type="dxa"/>
            <w:vAlign w:val="bottom"/>
            <w:gridSpan w:val="6"/>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9"/>
              </w:rPr>
              <w:t>TABLE OF CONTENTS TO FORM 10-Q</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10240" w:type="dxa"/>
            <w:vAlign w:val="bottom"/>
            <w:gridSpan w:val="18"/>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7720" w:type="dxa"/>
            <w:vAlign w:val="bottom"/>
            <w:gridSpan w:val="11"/>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7140" w:type="dxa"/>
            <w:vAlign w:val="bottom"/>
            <w:gridSpan w:val="9"/>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2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2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Stockholders’ Equity</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00" w:type="dxa"/>
            <w:vAlign w:val="bottom"/>
            <w:tcBorders>
              <w:top w:val="single" w:sz="8" w:color="0000EE"/>
            </w:tcBorders>
          </w:tcPr>
          <w:p>
            <w:pPr>
              <w:spacing w:after="0"/>
              <w:rPr>
                <w:sz w:val="17"/>
                <w:szCs w:val="17"/>
                <w:color w:val="auto"/>
              </w:rPr>
            </w:pPr>
          </w:p>
        </w:tc>
        <w:tc>
          <w:tcPr>
            <w:tcW w:w="5760" w:type="dxa"/>
            <w:vAlign w:val="bottom"/>
            <w:gridSpan w:val="5"/>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2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Notes to the Consolidated Financial Statements</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tcPr>
          <w:p>
            <w:pPr>
              <w:spacing w:after="0"/>
              <w:rPr>
                <w:sz w:val="17"/>
                <w:szCs w:val="17"/>
                <w:color w:val="auto"/>
              </w:rPr>
            </w:pPr>
          </w:p>
        </w:tc>
        <w:tc>
          <w:tcPr>
            <w:tcW w:w="278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460" w:type="dxa"/>
            <w:vAlign w:val="bottom"/>
            <w:gridSpan w:val="10"/>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453"/>
        </w:trPr>
        <w:tc>
          <w:tcPr>
            <w:tcW w:w="102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420" w:type="dxa"/>
            <w:vAlign w:val="bottom"/>
            <w:tcBorders>
              <w:top w:val="single" w:sz="8" w:color="0000EE"/>
            </w:tcBorders>
            <w:gridSpan w:val="2"/>
          </w:tcPr>
          <w:p>
            <w:pPr>
              <w:spacing w:after="0"/>
              <w:rPr>
                <w:sz w:val="17"/>
                <w:szCs w:val="17"/>
                <w:color w:val="auto"/>
              </w:rPr>
            </w:pPr>
          </w:p>
        </w:tc>
        <w:tc>
          <w:tcPr>
            <w:tcW w:w="7900" w:type="dxa"/>
            <w:vAlign w:val="bottom"/>
            <w:gridSpan w:val="12"/>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4880" w:type="dxa"/>
            <w:vAlign w:val="bottom"/>
            <w:gridSpan w:val="3"/>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6900" w:type="dxa"/>
            <w:vAlign w:val="bottom"/>
            <w:gridSpan w:val="8"/>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7460" w:type="dxa"/>
            <w:vAlign w:val="bottom"/>
            <w:gridSpan w:val="10"/>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7920" w:type="dxa"/>
            <w:vAlign w:val="bottom"/>
            <w:gridSpan w:val="13"/>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80" w:type="dxa"/>
            <w:vAlign w:val="bottom"/>
            <w:gridSpan w:val="1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2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280" w:type="dxa"/>
            <w:vAlign w:val="bottom"/>
            <w:tcBorders>
              <w:top w:val="single" w:sz="8" w:color="0000EE"/>
            </w:tcBorders>
          </w:tcPr>
          <w:p>
            <w:pPr>
              <w:spacing w:after="0"/>
              <w:rPr>
                <w:sz w:val="24"/>
                <w:szCs w:val="24"/>
                <w:color w:val="auto"/>
              </w:rPr>
            </w:pPr>
          </w:p>
        </w:tc>
        <w:tc>
          <w:tcPr>
            <w:tcW w:w="740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1,231,164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927,468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Cash, restricted</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507,517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5,303,526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5,300,190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3,128,986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3,473,604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144,143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Assets held-for-sale - discontinued operations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6,144,793</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assets - discontinued operations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17,281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281,699</w:t>
            </w:r>
          </w:p>
        </w:tc>
        <w:tc>
          <w:tcPr>
            <w:tcW w:w="0" w:type="dxa"/>
            <w:vAlign w:val="bottom"/>
          </w:tcPr>
          <w:p>
            <w:pPr>
              <w:spacing w:after="0"/>
              <w:rPr>
                <w:sz w:val="1"/>
                <w:szCs w:val="1"/>
                <w:color w:val="auto"/>
              </w:rPr>
            </w:pPr>
          </w:p>
        </w:tc>
      </w:tr>
      <w:tr>
        <w:trPr>
          <w:trHeight w:val="209"/>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9,776,457</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16,779,414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1,265,742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1,273,310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Right of use assets - operating leases,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443,493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512,389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Right of use assets - finance leases,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51,711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205,340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316,480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338,059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30"/>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Noncurrent assets - discontinued operations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215,509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12,110,883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19,581,021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2,824,850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3,035,799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Accrued separation costs - related parties, current portion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19,759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109,236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 appreciation rights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16,143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66,026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Lease liability - operating leases,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294,679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285,534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Lease liability - finance leases, 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23,427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48,866</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liabilities - discontinued operations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20,771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8,877,624</w:t>
            </w:r>
          </w:p>
        </w:tc>
        <w:tc>
          <w:tcPr>
            <w:tcW w:w="0" w:type="dxa"/>
            <w:vAlign w:val="bottom"/>
          </w:tcPr>
          <w:p>
            <w:pPr>
              <w:spacing w:after="0"/>
              <w:rPr>
                <w:sz w:val="1"/>
                <w:szCs w:val="1"/>
                <w:color w:val="auto"/>
              </w:rPr>
            </w:pPr>
          </w:p>
        </w:tc>
      </w:tr>
      <w:tr>
        <w:trPr>
          <w:trHeight w:val="209"/>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3,251,241</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12,439,228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Note payable non-current, net of discount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199,633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216,947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separation costs - related parties, non-current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Lease liability - operating leases, non-current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158,659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234,963</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Lease liability - finance leases, non-current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52,683</w:t>
            </w:r>
          </w:p>
        </w:tc>
        <w:tc>
          <w:tcPr>
            <w:tcW w:w="0" w:type="dxa"/>
            <w:vAlign w:val="bottom"/>
          </w:tcPr>
          <w:p>
            <w:pPr>
              <w:spacing w:after="0"/>
              <w:rPr>
                <w:sz w:val="1"/>
                <w:szCs w:val="1"/>
                <w:color w:val="auto"/>
              </w:rPr>
            </w:pP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4,009,533</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13,343,821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&amp; Contingencies (see note 20)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57,493,776 shares issued, and 54,649,479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shares outstanding at March 31, 2026 and December 31, 2025,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45,671,776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45,647,902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Treasury stock: 2,644,297 shares outstanding at March 31, 2026 and December 31, 2025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(1,141,372)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(1,141,372)</w:t>
            </w:r>
          </w:p>
        </w:tc>
        <w:tc>
          <w:tcPr>
            <w:tcW w:w="0" w:type="dxa"/>
            <w:vAlign w:val="bottom"/>
          </w:tcPr>
          <w:p>
            <w:pPr>
              <w:spacing w:after="0"/>
              <w:rPr>
                <w:sz w:val="1"/>
                <w:szCs w:val="1"/>
                <w:color w:val="auto"/>
              </w:rPr>
            </w:pPr>
          </w:p>
        </w:tc>
      </w:tr>
      <w:tr>
        <w:trPr>
          <w:trHeight w:val="230"/>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(36,434,800)</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(38,275,076)</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8,101,350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6,237,200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12,110,883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19,581,021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vMerge w:val="restart"/>
          </w:tcPr>
          <w:p>
            <w:pPr>
              <w:jc w:val="center"/>
              <w:ind w:left="1190"/>
              <w:spacing w:after="0"/>
              <w:rPr>
                <w:sz w:val="20"/>
                <w:szCs w:val="20"/>
                <w:color w:val="auto"/>
              </w:rPr>
            </w:pPr>
            <w:r>
              <w:rPr>
                <w:rFonts w:ascii="Times New Roman" w:cs="Times New Roman" w:eastAsia="Times New Roman" w:hAnsi="Times New Roman"/>
                <w:sz w:val="18"/>
                <w:szCs w:val="18"/>
                <w:color w:val="auto"/>
                <w:w w:val="99"/>
              </w:rPr>
              <w:t>See condensed notes to these unaudited consolidated financial statements.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1280" w:type="dxa"/>
            <w:vAlign w:val="bottom"/>
            <w:tcBorders>
              <w:top w:val="single" w:sz="8" w:color="0000EE"/>
            </w:tcBorders>
          </w:tcPr>
          <w:p>
            <w:pPr>
              <w:spacing w:after="0"/>
              <w:rPr>
                <w:sz w:val="24"/>
                <w:szCs w:val="24"/>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40" w:type="dxa"/>
            <w:vAlign w:val="bottom"/>
          </w:tcPr>
          <w:p>
            <w:pPr>
              <w:spacing w:after="0"/>
              <w:rPr>
                <w:sz w:val="24"/>
                <w:szCs w:val="24"/>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9"/>
                <w:szCs w:val="19"/>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74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12,176,573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15,026,015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9,053,952</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11,105,751</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3,122,621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3,920,264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2,771,928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3,659,808</w:t>
            </w:r>
          </w:p>
        </w:tc>
        <w:tc>
          <w:tcPr>
            <w:tcW w:w="0" w:type="dxa"/>
            <w:vAlign w:val="bottom"/>
          </w:tcPr>
          <w:p>
            <w:pPr>
              <w:spacing w:after="0"/>
              <w:rPr>
                <w:sz w:val="1"/>
                <w:szCs w:val="1"/>
                <w:color w:val="auto"/>
              </w:rPr>
            </w:pPr>
          </w:p>
        </w:tc>
      </w:tr>
      <w:tr>
        <w:trPr>
          <w:trHeight w:val="209"/>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2,771,928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350,693</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260,456</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(7,302)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0" w:type="dxa"/>
            <w:vAlign w:val="bottom"/>
          </w:tcPr>
          <w:p>
            <w:pPr>
              <w:spacing w:after="0"/>
              <w:rPr>
                <w:sz w:val="1"/>
                <w:szCs w:val="1"/>
                <w:color w:val="auto"/>
              </w:rPr>
            </w:pPr>
          </w:p>
        </w:tc>
      </w:tr>
      <w:tr>
        <w:trPr>
          <w:trHeight w:val="209"/>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expense</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343,391</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253,819</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spacing w:after="0"/>
              <w:rPr>
                <w:sz w:val="19"/>
                <w:szCs w:val="19"/>
                <w:color w:val="auto"/>
              </w:rPr>
            </w:pPr>
          </w:p>
        </w:tc>
        <w:tc>
          <w:tcPr>
            <w:tcW w:w="74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343,391</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1,496,885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(684,255)</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74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1,840,276</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(430,436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7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from continuing operations - basic</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0.005</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shd w:val="clear" w:color="auto" w:fill="CCEEFF"/>
          </w:tcPr>
          <w:p>
            <w:pPr>
              <w:spacing w:after="0"/>
              <w:rPr>
                <w:sz w:val="17"/>
                <w:szCs w:val="17"/>
                <w:color w:val="auto"/>
              </w:rPr>
            </w:pPr>
          </w:p>
        </w:tc>
        <w:tc>
          <w:tcPr>
            <w:tcW w:w="7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from continuing operations - 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0.005</w:t>
            </w: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7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 from discontinued operations - basic</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(0.013)</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shd w:val="clear" w:color="auto" w:fill="CCEEFF"/>
          </w:tcPr>
          <w:p>
            <w:pPr>
              <w:spacing w:after="0"/>
              <w:rPr>
                <w:sz w:val="17"/>
                <w:szCs w:val="17"/>
                <w:color w:val="auto"/>
              </w:rPr>
            </w:pPr>
          </w:p>
        </w:tc>
        <w:tc>
          <w:tcPr>
            <w:tcW w:w="7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 from discontinued operations - 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(0.013)</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shd w:val="clear" w:color="auto" w:fill="CCEEFF"/>
          </w:tcPr>
          <w:p>
            <w:pPr>
              <w:spacing w:after="0"/>
              <w:rPr>
                <w:sz w:val="17"/>
                <w:szCs w:val="17"/>
                <w:color w:val="auto"/>
              </w:rPr>
            </w:pPr>
          </w:p>
        </w:tc>
        <w:tc>
          <w:tcPr>
            <w:tcW w:w="7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54,649,479</w:t>
            </w:r>
          </w:p>
        </w:tc>
        <w:tc>
          <w:tcPr>
            <w:tcW w:w="140" w:type="dxa"/>
            <w:vAlign w:val="bottom"/>
          </w:tcPr>
          <w:p>
            <w:pPr>
              <w:spacing w:after="0"/>
              <w:rPr>
                <w:sz w:val="24"/>
                <w:szCs w:val="24"/>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53,962,273</w:t>
            </w: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7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54,649,479</w:t>
            </w:r>
          </w:p>
        </w:tc>
        <w:tc>
          <w:tcPr>
            <w:tcW w:w="140" w:type="dxa"/>
            <w:vAlign w:val="bottom"/>
          </w:tcPr>
          <w:p>
            <w:pPr>
              <w:spacing w:after="0"/>
              <w:rPr>
                <w:sz w:val="21"/>
                <w:szCs w:val="21"/>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53,962,273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vMerge w:val="restart"/>
          </w:tcPr>
          <w:p>
            <w:pPr>
              <w:jc w:val="center"/>
              <w:ind w:left="1190"/>
              <w:spacing w:after="0"/>
              <w:rPr>
                <w:sz w:val="20"/>
                <w:szCs w:val="20"/>
                <w:color w:val="auto"/>
              </w:rPr>
            </w:pPr>
            <w:r>
              <w:rPr>
                <w:rFonts w:ascii="Times New Roman" w:cs="Times New Roman" w:eastAsia="Times New Roman" w:hAnsi="Times New Roman"/>
                <w:sz w:val="18"/>
                <w:szCs w:val="18"/>
                <w:color w:val="auto"/>
                <w:w w:val="99"/>
              </w:rPr>
              <w:t>See condensed notes to these unaudited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680" w:type="dxa"/>
            <w:vAlign w:val="bottom"/>
            <w:tcBorders>
              <w:bottom w:val="single" w:sz="8" w:color="auto"/>
            </w:tcBorders>
            <w:gridSpan w:val="2"/>
          </w:tcPr>
          <w:p>
            <w:pPr>
              <w:jc w:val="center"/>
              <w:ind w:left="247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46"/>
        </w:trPr>
        <w:tc>
          <w:tcPr>
            <w:tcW w:w="128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40" w:type="dxa"/>
            <w:vAlign w:val="bottom"/>
            <w:gridSpan w:val="1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40" w:type="dxa"/>
            <w:vAlign w:val="bottom"/>
            <w:gridSpan w:val="1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 and 2025</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2"/>
        </w:trPr>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8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80" w:type="dxa"/>
            <w:vAlign w:val="bottom"/>
            <w:gridSpan w:val="4"/>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to be issued</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9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19"/>
                <w:szCs w:val="19"/>
                <w:color w:val="auto"/>
              </w:rPr>
            </w:pPr>
          </w:p>
        </w:tc>
        <w:tc>
          <w:tcPr>
            <w:tcW w:w="90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19"/>
                <w:szCs w:val="19"/>
                <w:color w:val="auto"/>
              </w:rPr>
            </w:pPr>
          </w:p>
        </w:tc>
        <w:tc>
          <w:tcPr>
            <w:tcW w:w="11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56,009,032</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738,032</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45,520,121</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2,644,297</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(1,141,372)</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(36,209,764)</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8,174,657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198"/>
        </w:trPr>
        <w:tc>
          <w:tcPr>
            <w:tcW w:w="2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Fair value of shares under</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compensation plan</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101,201</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101,201</w:t>
            </w:r>
          </w:p>
        </w:tc>
        <w:tc>
          <w:tcPr>
            <w:tcW w:w="40" w:type="dxa"/>
            <w:vAlign w:val="bottom"/>
          </w:tcPr>
          <w:p>
            <w:pPr>
              <w:spacing w:after="0"/>
              <w:rPr>
                <w:sz w:val="20"/>
                <w:szCs w:val="20"/>
                <w:color w:val="auto"/>
              </w:rPr>
            </w:pPr>
          </w:p>
        </w:tc>
      </w:tr>
      <w:tr>
        <w:trPr>
          <w:trHeight w:val="198"/>
        </w:trPr>
        <w:tc>
          <w:tcPr>
            <w:tcW w:w="2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earned under</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 plans</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798,891</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r>
      <w:tr>
        <w:trPr>
          <w:trHeight w:val="198"/>
        </w:trPr>
        <w:tc>
          <w:tcPr>
            <w:tcW w:w="2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compensation plans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738,032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(738,032)</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198"/>
        </w:trPr>
        <w:tc>
          <w:tcPr>
            <w:tcW w:w="2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in cashless</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conversion of options</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84,026</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r>
      <w:tr>
        <w:trPr>
          <w:trHeight w:val="198"/>
        </w:trPr>
        <w:tc>
          <w:tcPr>
            <w:tcW w:w="2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income for the three months</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8"/>
        </w:trPr>
        <w:tc>
          <w:tcPr>
            <w:tcW w:w="2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ended March 31, 2025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(430,436)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(430,436)</w:t>
            </w:r>
          </w:p>
        </w:tc>
      </w:tr>
      <w:tr>
        <w:trPr>
          <w:trHeight w:val="223"/>
        </w:trPr>
        <w:tc>
          <w:tcPr>
            <w:tcW w:w="2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56,831,090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798,891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45,621,235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2,644,297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(1,141,372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(36,640,200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$ 7,845,422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57,493,776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45,647,902</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2,644,297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(1,141,372)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(38,275,076)</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6,237,200</w:t>
            </w:r>
          </w:p>
        </w:tc>
        <w:tc>
          <w:tcPr>
            <w:tcW w:w="40" w:type="dxa"/>
            <w:vAlign w:val="bottom"/>
            <w:shd w:val="clear" w:color="auto" w:fill="CCEEFF"/>
          </w:tcPr>
          <w:p>
            <w:pPr>
              <w:spacing w:after="0"/>
              <w:rPr>
                <w:sz w:val="18"/>
                <w:szCs w:val="18"/>
                <w:color w:val="auto"/>
              </w:rPr>
            </w:pPr>
          </w:p>
        </w:tc>
      </w:tr>
      <w:tr>
        <w:trPr>
          <w:trHeight w:val="198"/>
        </w:trPr>
        <w:tc>
          <w:tcPr>
            <w:tcW w:w="2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Fair value of shares under</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compensation plan</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23,874</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23,874</w:t>
            </w:r>
          </w:p>
        </w:tc>
        <w:tc>
          <w:tcPr>
            <w:tcW w:w="40" w:type="dxa"/>
            <w:vAlign w:val="bottom"/>
          </w:tcPr>
          <w:p>
            <w:pPr>
              <w:spacing w:after="0"/>
              <w:rPr>
                <w:sz w:val="20"/>
                <w:szCs w:val="20"/>
                <w:color w:val="auto"/>
              </w:rPr>
            </w:pPr>
          </w:p>
        </w:tc>
      </w:tr>
      <w:tr>
        <w:trPr>
          <w:trHeight w:val="198"/>
        </w:trPr>
        <w:tc>
          <w:tcPr>
            <w:tcW w:w="2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for the three months</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48"/>
        </w:trPr>
        <w:tc>
          <w:tcPr>
            <w:tcW w:w="2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ended March 31, 2026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1,840,276</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1,840,276</w:t>
            </w:r>
          </w:p>
        </w:tc>
        <w:tc>
          <w:tcPr>
            <w:tcW w:w="40" w:type="dxa"/>
            <w:vAlign w:val="bottom"/>
            <w:shd w:val="clear" w:color="auto" w:fill="CCEEFF"/>
          </w:tcPr>
          <w:p>
            <w:pPr>
              <w:spacing w:after="0"/>
              <w:rPr>
                <w:sz w:val="21"/>
                <w:szCs w:val="21"/>
                <w:color w:val="auto"/>
              </w:rPr>
            </w:pPr>
          </w:p>
        </w:tc>
      </w:tr>
      <w:tr>
        <w:trPr>
          <w:trHeight w:val="22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 March 31, 2026</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57,493,776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45,671,776</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2,644,297</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(1,141,372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(36,434,800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$ 8,101,350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these unaudited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1280" w:type="dxa"/>
            <w:vAlign w:val="bottom"/>
            <w:tcBorders>
              <w:top w:val="single" w:sz="8" w:color="0000EE"/>
            </w:tcBorders>
          </w:tcPr>
          <w:p>
            <w:pPr>
              <w:spacing w:after="0"/>
              <w:rPr>
                <w:sz w:val="24"/>
                <w:szCs w:val="24"/>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40" w:type="dxa"/>
            <w:vAlign w:val="bottom"/>
          </w:tcPr>
          <w:p>
            <w:pPr>
              <w:spacing w:after="0"/>
              <w:rPr>
                <w:sz w:val="24"/>
                <w:szCs w:val="24"/>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5"/>
              </w:rPr>
              <w:t>Three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1,840,276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(430,436)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Gain on sale of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(2,685,277)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608,539</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60,330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109,621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68,896</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61,469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discount on notes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23,874</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101,201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 in value of stock appreciation rights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(15,410)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60,595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8,199</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27,555</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184,649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1,517,007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344,618</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(505,814)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48,643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(564,461)</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(1,664,232)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separation costs - related parties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(89,477)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(67,159)</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(58,840)</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(233,760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(977,407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received from sale of land and building, net of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8,782,365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paid for purchase of property and equipment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(31,183)</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(163,366)</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received from disposition of asset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8,761,182</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(163,366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on debt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(8,793,288)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Payments on financing leases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(6,189)</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(88,544)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Borrowings from line of credit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30"/>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(8,799,477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 and restricted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(272,055)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(1,274,921)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1,520,012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2,380,195</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 - continuing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1,231,164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1,081,538</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 - discontinued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16,793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23,736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213,358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204,813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tcBorders>
              <w:bottom w:val="single" w:sz="8" w:color="CCEEFF"/>
            </w:tcBorders>
            <w:gridSpan w:val="2"/>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7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these unaudited consolidated financial statements.</w:t>
      </w:r>
    </w:p>
    <w:p>
      <w:pPr>
        <w:sectPr>
          <w:pgSz w:w="11900" w:h="16838" w:orient="portrait"/>
          <w:cols w:equalWidth="0" w:num="1">
            <w:col w:w="11240"/>
          </w:cols>
          <w:pgMar w:left="320" w:top="216" w:right="339" w:bottom="1145"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145"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ACTIVITIES AND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include those of Innovative Food Holdings, Inc. and all of its wholly-owned subsidiaries (collectively, the “Company”) and have been prepared in accordance with generally accepted accounting principles in the United States of America (“U.S. GAAP”) pursuant to Regulation S-X of the Securities and Exchange Commission (the “SEC”) and with the instructions to Form 10-Q. Certain information and footnote disclosures normally included in audited consolidated financial statements prepared in accordance with U.S. GAAP have been condensed or omitted. Accordingly, these interim financial statements should be read in conjunction with the Company’s audited financial statements and related notes as contained in its Annual Report on Form 10-K for the year ended December 31, 2025. In the opinion of management, the interim unaudited consolidated financial statements reflect all adjustments, including normal recurring adjustments, necessary for fair presentation of the interim periods presented. The results of the operations for the three months ended March 31, 2026 are not necessarily indicative of the results of operations to be expected for the full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Activity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difficult-to-find specialty foods primarily to both Professional Chefs and Home Gourmets through the Company’s relationships with producers, growers, makers and distributors of these products worldwide. The distribution of these products primarily originates from the Company’s two unified warehouses and those of its drop ship partners, and is driven by its proprietary technology platform. In addition, the Company provides value-added services through its team of food specialists and Chef Advisors who offer customer support, menu ideas, and preparation guidance.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relied on the guidance of Accounting Standards Codification (“ASC”) 205-20,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in presenting the results of its discontinued operations. During the third quarter of fiscal 2025, the Company committed to a strategic exit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 specialty cheese business, which served as the primary component of its national distribution platform. Accordingly, results for this business for all prior periods presented have been retrospectively reclassified to discontinued operations in accordance with ASC 205-20. In connection with this decision, the Company also elected to discontinue its related logistics operations and specialty cheese cutting activities, including igourmet, along with the Company’s logistics subsidiaries (Logistics Innovations LLC (“LII”) and Innovative Food Properties LLC (“IFP”)). During the year ended December 31, 2025, the accounts of the following entities are included in net loss from discontinued operations and in the discontinued operations sections of the Company’s balance sheet: IFP, LII, and the activity of igourmet directly related to its cheese business. See Note 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2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Certain amounts presented in the financial statements of the prior period have been reclassified to conform with the current period presentation of discontinued operations. See Note 3. In addition, restricted cash has been included with unrestricted cash in the cash totals in the statement of cash flows.</w:t>
      </w:r>
      <w:r>
        <w:rPr>
          <w:sz w:val="1"/>
          <w:szCs w:val="1"/>
          <w:color w:val="auto"/>
        </w:rPr>
        <w:drawing>
          <wp:inline distT="0" distB="0" distL="0" distR="0">
            <wp:extent cx="34290"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these unaudited consolidated financial statements requires the Company to make estimates and judgments that affect the reported amounts of assets, liabilities, revenues and expenses, and related disclosure of contingent assets and liabilities. On an on-going basis, the Company evaluates these estimates, including those related to revenue recognition and concentration of credit risk.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allowance for credit losses, allowance for slow moving and obsolete inventory, income taxes, contingent liabilities, operating and finance right of use assets and liabilities, and equity-based instruments. Actual results may differ from these estimates under different assumptions or conditions. The Company believes its estimates have not been materially inaccurate in past years, and its assumptions are not likely to change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6442710</wp:posOffset>
            </wp:positionH>
            <wp:positionV relativeFrom="paragraph">
              <wp:posOffset>-140335</wp:posOffset>
            </wp:positionV>
            <wp:extent cx="2540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Financial instruments and related items, which potentially subject the Company to concentrations of credit risk, consist primarily of cash, cash equivalents and trade accounts receivable. The Company places its cash and temporary cash in investments with credit quality institutions. At times, such investments may be in excess of applicable government mandated insurance limit. As of March 31, 2026 and December 31, 2025, trade receivables from the Company’s largest customer accounted for approximately 23% and 18%, respectively, of total trade receivables.  </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maintains cash balances in excess of Federal Deposit Insurance Corporation limits. At March 31, 2026 and December 31, 2025, the total cash in excess of these limits was $0 and $261,808,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provides an allowance for credit losses equal to the estimated uncollectible amounts pursuant to the guidance of Accounting Standards Update (“ASU”)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xml:space="preserve"> (Topic 326) as codified in ASC 326,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Under ASC 326, the Company utilizes a current and expected credit loss (CECL) impairment model. The Company’s estimate is based on historical collection experience and a review of the current status of trade accounts receivable. It is reasonably possible that the Company’s estimate of the allowance for credit losses will change. Accounts receivable are presented net of an allowance for credit losses of $247,272 and $218,319 at March 31, 2026 and December 31, 2025, respectively.</w:t>
      </w:r>
    </w:p>
    <w:p>
      <w:pPr>
        <w:sectPr>
          <w:pgSz w:w="11900" w:h="16838" w:orient="portrait"/>
          <w:cols w:equalWidth="0" w:num="1">
            <w:col w:w="11240"/>
          </w:cols>
          <w:pgMar w:left="320" w:top="229" w:right="339" w:bottom="32"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is valued at the lower of cost or net realizable value, and is determined by the average cost method. The Company adjusts inventory based upon bi-weekly cycle counts and upon the expiration date of food products. In addition, the Company records a provision for excess, obsolete, and slow-moving inventory. This provision reduces the carrying value of inventory to its net realizable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Financial Accounting Standards Board (“FASB”)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an arrangement is a lease at inception. Operating and Finance lease right-of-use (“ROU”) assets and current and noncurrent lease liabilities are included on the face of the consolidated balance sheet.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For finance leases, the Company recognizes the amortization of the ROU asset over the shorter of the lease term or useful life of the underlying asset. Interest accretion on the finance lease liabilities is recorded as interest expense.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upon product delivery. All of the Company’s products are shipped either same day or overnight or through longer shipping terms to the customer and the customer takes title to product and assumes risk and ownership of the product when it is delivered. Shipping charges to customers are included in revenues.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revenue from product sales (i.e., specialty foodservice and e-commerce), the Company recognizes revenue in accordance with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 five-step analysis must be met as outlined in Topic 606: (i) identify the contract with the customer, (ii) identify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Warehouse and logistics services revenue is primarily comprised of inventory management, order fulfilment and warehousing services. Warehouse and logistics services revenues are recognized at the point in time when the services are rendered to the customer. Warehouse rental services are recognized over the period the service is provided.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Disaggregation of Revenue</w:t>
            </w:r>
          </w:p>
        </w:tc>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5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for the three months ended March 31, 2026 and 2025:</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9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98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09"/>
        </w:trPr>
        <w:tc>
          <w:tcPr>
            <w:tcW w:w="19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9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Channels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6,636,757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7,789,527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Distribution</w:t>
            </w:r>
          </w:p>
        </w:tc>
        <w:tc>
          <w:tcPr>
            <w:tcW w:w="12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2,478,888</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2,802,870</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Local Distribution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3,060,928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4,433,618</w:t>
            </w:r>
          </w:p>
        </w:tc>
        <w:tc>
          <w:tcPr>
            <w:tcW w:w="80" w:type="dxa"/>
            <w:vAlign w:val="bottom"/>
            <w:shd w:val="clear" w:color="auto" w:fill="CCEEFF"/>
          </w:tcPr>
          <w:p>
            <w:pPr>
              <w:spacing w:after="0"/>
              <w:rPr>
                <w:sz w:val="18"/>
                <w:szCs w:val="18"/>
                <w:color w:val="auto"/>
              </w:rPr>
            </w:pP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6"/>
              </w:rPr>
              <w:t>12,176,573</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15,026,015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9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included in cost of goods sold all costs which are directly related to the generation of revenue. These costs include primarily the cost of food and raw materials, packing and handling, shipping, and delivery costs. The Company has also included all payroll costs as cost of goods sold in its warehouse and logistics services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Basic and Diluted Earnings Per Share (“EPS”)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EPS is based on the weighted average number of shares outstanding during the period, while fully-diluted net EPS is based on the weighted average number of shares of common stock and potentially dilutive securities assumed to be outstanding during the period using the treasury stock method. Potentially dilutive securities consist of options and restricted stock awards (“RSAs”).</w:t>
      </w:r>
    </w:p>
    <w:p>
      <w:pPr>
        <w:sectPr>
          <w:pgSz w:w="11900" w:h="16838" w:orient="portrait"/>
          <w:cols w:equalWidth="0" w:num="1">
            <w:col w:w="11240"/>
          </w:cols>
          <w:pgMar w:left="320" w:top="229" w:right="339"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Stock options and warrants for which the exercise price exceeds the average market price over the period have an anti-dilutive effect on earnings per common share and, accordingly, are excluded from the calculation.</w:t>
      </w:r>
    </w:p>
    <w:p>
      <w:pPr>
        <w:sectPr>
          <w:pgSz w:w="11900" w:h="16838" w:orient="portrait"/>
          <w:cols w:equalWidth="0" w:num="1">
            <w:col w:w="11240"/>
          </w:cols>
          <w:pgMar w:left="320" w:top="22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continuing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Dilutive effect of stock issuable under compensation plan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per share from continuing operations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March 31,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r>
      <w:tr>
        <w:trPr>
          <w:trHeight w:val="426"/>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343,391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253,819</w:t>
            </w:r>
          </w:p>
        </w:tc>
        <w:tc>
          <w:tcPr>
            <w:tcW w:w="20" w:type="dxa"/>
            <w:vAlign w:val="bottom"/>
          </w:tcPr>
          <w:p>
            <w:pPr>
              <w:spacing w:after="0"/>
              <w:rPr>
                <w:sz w:val="24"/>
                <w:szCs w:val="24"/>
                <w:color w:val="auto"/>
              </w:rPr>
            </w:pPr>
          </w:p>
        </w:tc>
      </w:tr>
      <w:tr>
        <w:trPr>
          <w:trHeight w:val="427"/>
        </w:trPr>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54,649,479</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53,962,273</w:t>
            </w:r>
          </w:p>
        </w:tc>
      </w:tr>
      <w:tr>
        <w:trPr>
          <w:trHeight w:val="234"/>
        </w:trPr>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54,649,479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53,962,273</w:t>
            </w:r>
          </w:p>
        </w:tc>
        <w:tc>
          <w:tcPr>
            <w:tcW w:w="20" w:type="dxa"/>
            <w:vAlign w:val="bottom"/>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0.005</w:t>
            </w:r>
          </w:p>
        </w:tc>
        <w:tc>
          <w:tcPr>
            <w:tcW w:w="20" w:type="dxa"/>
            <w:vAlign w:val="bottom"/>
          </w:tcPr>
          <w:p>
            <w:pPr>
              <w:spacing w:after="0"/>
              <w:rPr>
                <w:sz w:val="24"/>
                <w:szCs w:val="24"/>
                <w:color w:val="auto"/>
              </w:rPr>
            </w:pPr>
          </w:p>
        </w:tc>
      </w:tr>
    </w:tbl>
    <w:p>
      <w:pPr>
        <w:spacing w:after="0" w:line="1900" w:lineRule="exact"/>
        <w:rPr>
          <w:sz w:val="20"/>
          <w:szCs w:val="20"/>
          <w:color w:val="auto"/>
        </w:rPr>
      </w:pPr>
    </w:p>
    <w:p>
      <w:pPr>
        <w:sectPr>
          <w:pgSz w:w="11900" w:h="16838" w:orient="portrait"/>
          <w:cols w:equalWidth="0" w:num="2">
            <w:col w:w="7960" w:space="720"/>
            <w:col w:w="2560"/>
          </w:cols>
          <w:pgMar w:left="320" w:top="229" w:right="339" w:bottom="0" w:gutter="0" w:footer="0" w:header="0"/>
          <w:type w:val="continuous"/>
        </w:sectPr>
      </w:pP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2026, there were 300,000 unvested RSAs remaining from grants in a prior year. Those 300,000 RSAs will vest as follows: 125,000 RSAs will vest contingent upon the attainment of a stock price of $2.00 per share for 20 straight trading days, and an additional 175,000 RSAs will vest contingent upon the attainment of a stock price of $3.00 per share for 20 straight trading days. At March 31, 2026, none of these RSAs vested as conditions were not satisfied. Accordingly, there was no charge for these RSAs during the three months ended March 31, 2026, and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in place Executive Stock Plans for its executive team. See Note 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When shares are granted under the Company’s Executive Stock Plans, the Company withholds the number of shares required to satisfy income tax withholding requirements on the award, calculated at the market value of the Company’s stock on the date the award is granted.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charged the amount of $23,874 to operations in connection with Executive Stock Plans. See Note 16 for additional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there were no shares of common stock which have vested and are issuable pursuant to Executive Stock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of basic and diluted EPS: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potentially issuable shares not included in basic earnings per share, and no difference between EPS and fully-diluted EPS for the three months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March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2025, there were 300,000 unvested RSAs remaining from grants in a prior year. Those 300,000 RSAs will vest as follows: 125,000 RSAs will vest contingent upon the attainment of a stock price of $2.00 per share for 20 straight trading days, and an additional 175,000 RSAs will vest contingent upon the attainment of a stock price of $3.00 per share for 20 straight trading days. The fair value of these RSAs at the date of the grants will be charged to operations upon vesting. At March 31, 2025, none of these RSA’s were vested. There was no charge to operations for these RSAs during the three months ended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2025, there were a total of 1,142,989 shares of common stock potentially issuable to the Company’s executive officers pursuant to compensation plans and contingent upon the achievement of certain performance goals (see Note 16). Of these, 798,891 shares have vested and are included in fully-diluted shares outstanding during the three months ended March 31, 2025; 344,098 have not vested, and are excluded from the calculation of fully-diluted shares outstanding during the three months ended March 31, 2025. During the three months ended March 31, 2025, the amount of $101,201 was charged to stock-based compensation. See Note 16.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of basic and diluted EPS: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a net loss for the three months ended March 31, 2025, and all of potentially issuable shares are anti-dilutive. There is no difference between EPS and fully-diluted EPS for the three months ended March 31, 2025.</w:t>
      </w:r>
    </w:p>
    <w:p>
      <w:pPr>
        <w:sectPr>
          <w:pgSz w:w="11900" w:h="16838" w:orient="portrait"/>
          <w:cols w:equalWidth="0" w:num="1">
            <w:col w:w="11240"/>
          </w:cols>
          <w:pgMar w:left="320" w:top="229" w:right="339" w:bottom="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expensing of U.S. research expenditures and eligible capital expenditures, the permanent extension of certain expiring provisions of the Tax Cuts and Jobs Act, modifications to the international tax framework and the restoration of favorable tax treatment for certain business provisions. The impacts of the OBBBA are reflected in the Company’s results for the three months ended March 31, 2026, and there was no impact to its income tax expense or effective income tax rate.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 Assets</w:t>
      </w:r>
      <w:r>
        <w:rPr>
          <w:rFonts w:ascii="Times New Roman" w:cs="Times New Roman" w:eastAsia="Times New Roman" w:hAnsi="Times New Roman"/>
          <w:sz w:val="18"/>
          <w:szCs w:val="18"/>
          <w:color w:val="auto"/>
        </w:rPr>
        <w:t>, which allows companies to elect a practical expedient to assume that the current conditions as of the balance sheet date will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unchanged for the remaining life of the asset when developing a reasonable and supportable forecast as part of estimating expected credit losses on these assets. The Company adopted ASU 2025-05 effective January 1, 2026, on a prospective basis. The adoption of this accounting standard did not have a material impact on the Company’s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Accounting Pronouncements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(DISE)”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ASU 2024-03 is effective for fiscal years beginning after December 15, 2026, and interim periods within fiscal years beginning after December 15, 2027. Early adoption is permitted. The Company is evaluating standard and its potential effect on its consolidated financial statements and segment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REVISION OF PREVIOUSLY ISSUED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reported in the Annual Report on Form 10-K for the year ended December 31, 2025, the Company revised amounts reported in previously issued financial statements for the periods presented in this Quarterly Report on Form 10-Q related to immaterial errors. The errors relate to certain costs directly related to the revenue generation and cost of goods sold. The costs were not properly categorized in prior periods, which led to an overstatement of revenue and a corresponding overstatement of cost of goods sold. There was no effect to consolidated net income (loss) in any of the revised periods.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the aggregate effects of the errors to its previously issued financial statements in accordance with SEC Staff Accounting Bulletins No. 99 and No. 108 and, based upon quantitative and qualitative factors, determined that the errors were not material to the previously issued financial statements and disclosures included in its Quarterly Report on Form 10-Q for the quarter ended March 31,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effects of the aforementioned revisions on the Company’s consolidated statements of operations for the quarterly period ended March 31, 2025.</w:t>
      </w:r>
    </w:p>
    <w:p>
      <w:pPr>
        <w:spacing w:after="0" w:line="158"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9"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19"/>
                <w:szCs w:val="19"/>
                <w:color w:val="auto"/>
              </w:rPr>
            </w:pPr>
          </w:p>
        </w:tc>
        <w:tc>
          <w:tcPr>
            <w:tcW w:w="13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3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19"/>
                <w:szCs w:val="19"/>
                <w:color w:val="auto"/>
              </w:rPr>
            </w:pPr>
          </w:p>
        </w:tc>
      </w:tr>
      <w:tr>
        <w:trPr>
          <w:trHeight w:val="20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19,548,566</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7"/>
              </w:rPr>
              <w:t>(579,818)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18,968,748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15,062,759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(579,818)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14,482,941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2025, the Company committed to a strategic exit of its retail specialty cheese business, which served as the primary component of its national distribution platform. In connection with this decision, the Company also elected to discontinue its related logistics operations and specialty cheese cutting activities. As part of this exit, the Company has sold the associated Pennsylvania production and distribution facility.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the operating results and related assets and liabilities of the retail specialty cheese business, including igourmet, along with the Company’s logistics subsidiaries (LII and IFP) and specialty cheese cutting operations, have been reclassified to discontinued operations for all periods presented.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 of assets and liabilities included as part of discontinued operations in the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assets - discontinued operations:</w:t>
            </w:r>
          </w:p>
        </w:tc>
        <w:tc>
          <w:tcPr>
            <w:tcW w:w="12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85,027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196,672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6,144,793</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 - discontinued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6,426,492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997" w:gutter="0" w:footer="0" w:header="0"/>
        </w:sectPr>
      </w:pP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997"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0"/>
        </w:trPr>
        <w:tc>
          <w:tcPr>
            <w:tcW w:w="1280" w:type="dxa"/>
            <w:vAlign w:val="bottom"/>
            <w:tcBorders>
              <w:top w:val="single" w:sz="8" w:color="0000EE"/>
            </w:tcBorders>
          </w:tcPr>
          <w:p>
            <w:pPr>
              <w:spacing w:after="0"/>
              <w:rPr>
                <w:sz w:val="24"/>
                <w:szCs w:val="24"/>
                <w:color w:val="auto"/>
              </w:rPr>
            </w:pPr>
          </w:p>
        </w:tc>
        <w:tc>
          <w:tcPr>
            <w:tcW w:w="7400" w:type="dxa"/>
            <w:vAlign w:val="bottom"/>
          </w:tcPr>
          <w:p>
            <w:pPr>
              <w:spacing w:after="0"/>
              <w:rPr>
                <w:sz w:val="24"/>
                <w:szCs w:val="24"/>
                <w:color w:val="auto"/>
              </w:rPr>
            </w:pPr>
          </w:p>
        </w:tc>
        <w:tc>
          <w:tcPr>
            <w:tcW w:w="102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0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Noncurrent assets - discontinued operations:</w:t>
            </w:r>
          </w:p>
        </w:tc>
        <w:tc>
          <w:tcPr>
            <w:tcW w:w="10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 financing leases, net</w:t>
            </w:r>
          </w:p>
        </w:tc>
        <w:tc>
          <w:tcPr>
            <w:tcW w:w="102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215,509</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20" w:type="dxa"/>
            <w:vAlign w:val="bottom"/>
          </w:tcPr>
          <w:p>
            <w:pPr>
              <w:spacing w:after="0"/>
              <w:rPr>
                <w:sz w:val="19"/>
                <w:szCs w:val="19"/>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 - discontinued operations</w:t>
            </w:r>
          </w:p>
        </w:tc>
        <w:tc>
          <w:tcPr>
            <w:tcW w:w="1020" w:type="dxa"/>
            <w:vAlign w:val="bottom"/>
            <w:tcBorders>
              <w:top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liabilities - discontinued operations:</w:t>
            </w:r>
          </w:p>
        </w:tc>
        <w:tc>
          <w:tcPr>
            <w:tcW w:w="12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40,884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64,084</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8,430,656</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 - discontinued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8,877,624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items constituting the after-tax loss from discontinued operations in the consolidated statements of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r>
      <w:tr>
        <w:trPr>
          <w:trHeight w:val="250"/>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70"/>
        </w:trPr>
        <w:tc>
          <w:tcPr>
            <w:tcW w:w="86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3"/>
                <w:szCs w:val="23"/>
                <w:color w:val="auto"/>
              </w:rPr>
            </w:pPr>
          </w:p>
        </w:tc>
      </w:tr>
      <w:tr>
        <w:trPr>
          <w:trHeight w:val="250"/>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(unaudited)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(unaudited)</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3,942,733</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9"/>
                <w:szCs w:val="19"/>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3,377,190</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70"/>
        </w:trPr>
        <w:tc>
          <w:tcPr>
            <w:tcW w:w="8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(454,439)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(1,049,169)</w:t>
            </w:r>
          </w:p>
        </w:tc>
      </w:tr>
    </w:tbl>
    <w:p>
      <w:pPr>
        <w:spacing w:after="0" w:line="200" w:lineRule="exact"/>
        <w:rPr>
          <w:sz w:val="20"/>
          <w:szCs w:val="20"/>
          <w:color w:val="auto"/>
        </w:rPr>
      </w:pPr>
    </w:p>
    <w:p>
      <w:pPr>
        <w:sectPr>
          <w:pgSz w:w="11900" w:h="16838" w:orient="portrait"/>
          <w:cols w:equalWidth="0" w:num="1">
            <w:col w:w="11240"/>
          </w:cols>
          <w:pgMar w:left="320" w:top="216" w:right="339" w:bottom="0" w:gutter="0" w:footer="0" w:header="0"/>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early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400"/>
        <w:spacing w:after="0"/>
        <w:tabs>
          <w:tab w:leader="none" w:pos="2380" w:val="left"/>
        </w:tabs>
        <w:rPr>
          <w:sz w:val="20"/>
          <w:szCs w:val="20"/>
          <w:color w:val="auto"/>
        </w:rPr>
      </w:pPr>
      <w:r>
        <w:rPr>
          <w:rFonts w:ascii="Times New Roman" w:cs="Times New Roman" w:eastAsia="Times New Roman" w:hAnsi="Times New Roman"/>
          <w:sz w:val="18"/>
          <w:szCs w:val="18"/>
          <w:color w:val="auto"/>
        </w:rPr>
        <w:t>2,685,277</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80"/>
        <w:spacing w:after="0"/>
        <w:tabs>
          <w:tab w:leader="none" w:pos="2380" w:val="left"/>
        </w:tabs>
        <w:rPr>
          <w:sz w:val="20"/>
          <w:szCs w:val="20"/>
          <w:color w:val="auto"/>
        </w:rPr>
      </w:pPr>
      <w:r>
        <w:rPr>
          <w:rFonts w:ascii="Times New Roman" w:cs="Times New Roman" w:eastAsia="Times New Roman" w:hAnsi="Times New Roman"/>
          <w:sz w:val="18"/>
          <w:szCs w:val="18"/>
          <w:color w:val="auto"/>
        </w:rPr>
        <w:t>(608,539)</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40"/>
        <w:spacing w:after="0"/>
        <w:tabs>
          <w:tab w:leader="none" w:pos="700" w:val="left"/>
        </w:tabs>
        <w:rPr>
          <w:sz w:val="20"/>
          <w:szCs w:val="20"/>
          <w:color w:val="auto"/>
        </w:rPr>
      </w:pPr>
      <w:r>
        <w:rPr>
          <w:rFonts w:ascii="Times New Roman" w:cs="Times New Roman" w:eastAsia="Times New Roman" w:hAnsi="Times New Roman"/>
          <w:sz w:val="18"/>
          <w:szCs w:val="18"/>
          <w:color w:val="auto"/>
        </w:rPr>
        <w:t>(125,414)</w:t>
      </w:r>
      <w:r>
        <w:rPr>
          <w:sz w:val="20"/>
          <w:szCs w:val="20"/>
          <w:color w:val="auto"/>
        </w:rPr>
        <w:tab/>
      </w:r>
      <w:r>
        <w:rPr>
          <w:rFonts w:ascii="Times New Roman" w:cs="Times New Roman" w:eastAsia="Times New Roman" w:hAnsi="Times New Roman"/>
          <w:sz w:val="18"/>
          <w:szCs w:val="18"/>
          <w:color w:val="auto"/>
        </w:rPr>
        <w:t>(200,629)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3" w:lineRule="exact"/>
        <w:rPr>
          <w:sz w:val="20"/>
          <w:szCs w:val="20"/>
          <w:color w:val="auto"/>
        </w:rPr>
      </w:pPr>
    </w:p>
    <w:p>
      <w:pPr>
        <w:spacing w:after="0"/>
        <w:tabs>
          <w:tab w:leader="none" w:pos="380" w:val="left"/>
          <w:tab w:leader="none" w:pos="1320" w:val="left"/>
          <w:tab w:leader="none" w:pos="1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1,496,885</w:t>
        <w:tab/>
        <w:t>$</w:t>
      </w:r>
      <w:r>
        <w:rPr>
          <w:sz w:val="20"/>
          <w:szCs w:val="20"/>
          <w:color w:val="auto"/>
        </w:rPr>
        <w:tab/>
      </w:r>
      <w:r>
        <w:rPr>
          <w:rFonts w:ascii="Times New Roman" w:cs="Times New Roman" w:eastAsia="Times New Roman" w:hAnsi="Times New Roman"/>
          <w:sz w:val="18"/>
          <w:szCs w:val="18"/>
          <w:color w:val="auto"/>
        </w:rPr>
        <w:t>(684,255)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156019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6019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216" w:right="339" w:bottom="0" w:gutter="0" w:footer="0" w:header="0"/>
          <w:type w:val="continuous"/>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presents the significant items related to discontinued operations in the statement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8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6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reconcile net loss to cash</w:t>
            </w: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Gain on sale of assets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(2,685,277)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608,539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36,553</w:t>
            </w:r>
          </w:p>
        </w:tc>
      </w:tr>
      <w:tr>
        <w:trPr>
          <w:trHeight w:val="270"/>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196,184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3,112,423</w:t>
            </w:r>
          </w:p>
        </w:tc>
      </w:tr>
      <w:tr>
        <w:trPr>
          <w:trHeight w:val="21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Inventory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2,782,000</w:t>
            </w:r>
          </w:p>
        </w:tc>
      </w:tr>
      <w:tr>
        <w:trPr>
          <w:trHeight w:val="21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20,113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2,184,409</w:t>
            </w:r>
          </w:p>
        </w:tc>
      </w:tr>
      <w:tr>
        <w:trPr>
          <w:trHeight w:val="21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1,899</w:t>
            </w:r>
          </w:p>
        </w:tc>
      </w:tr>
      <w:tr>
        <w:trPr>
          <w:trHeight w:val="270"/>
        </w:trPr>
        <w:tc>
          <w:tcPr>
            <w:tcW w:w="86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70"/>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paid for purchase of property and equipment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(87,181)</w:t>
            </w:r>
          </w:p>
        </w:tc>
      </w:tr>
      <w:tr>
        <w:trPr>
          <w:trHeight w:val="21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sale of fixed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received from sale of land and building, net of costs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8,782,365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6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16"/>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Payments on debt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(8,740,846)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(28,658)</w:t>
            </w:r>
          </w:p>
        </w:tc>
      </w:tr>
      <w:tr>
        <w:trPr>
          <w:trHeight w:val="21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Payments on financing leases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(54,024)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SALE OF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6, 2026, the Company closed the sale of its warehouse and office facility in Mountaintop, Pennsylvania. A gain in the amount of $2,764,063 was recorded on this transaction. The following table presents components of the sale and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0"/>
                    </a:xfrm>
                    <a:prstGeom prst="rect">
                      <a:avLst/>
                    </a:prstGeom>
                    <a:noFill/>
                  </pic:spPr>
                </pic:pic>
              </a:graphicData>
            </a:graphic>
          </wp:anchor>
        </w:drawing>
      </w:r>
    </w:p>
    <w:p>
      <w:pPr>
        <w:sectPr>
          <w:pgSz w:w="11900" w:h="16838" w:orient="portrait"/>
          <w:cols w:equalWidth="0" w:num="1">
            <w:col w:w="11240"/>
          </w:cols>
          <w:pgMar w:left="320" w:top="216" w:right="339"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price of land and building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9,225,000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Assets held-for-sale</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(6,144,793)</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financing</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(215,509)</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342,000</w:t>
            </w:r>
          </w:p>
        </w:tc>
        <w:tc>
          <w:tcPr>
            <w:tcW w:w="80" w:type="dxa"/>
            <w:vAlign w:val="bottom"/>
          </w:tcPr>
          <w:p>
            <w:pPr>
              <w:spacing w:after="0"/>
              <w:rPr>
                <w:sz w:val="18"/>
                <w:szCs w:val="18"/>
                <w:color w:val="auto"/>
              </w:rPr>
            </w:pPr>
          </w:p>
        </w:tc>
      </w:tr>
      <w:tr>
        <w:trPr>
          <w:trHeight w:val="23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title, and other expenses</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(442,635)</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2,764,063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this transaction, the Company’s term loan with Maple Mark Bank was paid off and a loss on the early extinguishment of debt of $608,539 was recorded.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and December 31, 2025, accounts receivable consisted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from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1"/>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ind w:left="405" w:hanging="405"/>
        <w:spacing w:after="0"/>
        <w:tabs>
          <w:tab w:leader="none" w:pos="4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5,550,798   $   5,518,509</w:t>
      </w:r>
    </w:p>
    <w:p>
      <w:pPr>
        <w:spacing w:after="0" w:line="7" w:lineRule="exact"/>
        <w:rPr>
          <w:rFonts w:ascii="Times New Roman" w:cs="Times New Roman" w:eastAsia="Times New Roman" w:hAnsi="Times New Roman"/>
          <w:sz w:val="18"/>
          <w:szCs w:val="18"/>
          <w:color w:val="auto"/>
        </w:rPr>
      </w:pPr>
    </w:p>
    <w:p>
      <w:pPr>
        <w:ind w:left="4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(247,272)(218,319)</w:t>
      </w:r>
    </w:p>
    <w:p>
      <w:pPr>
        <w:spacing w:after="0" w:line="31" w:lineRule="exact"/>
        <w:rPr>
          <w:sz w:val="20"/>
          <w:szCs w:val="20"/>
          <w:color w:val="auto"/>
        </w:rPr>
      </w:pPr>
    </w:p>
    <w:p>
      <w:pPr>
        <w:ind w:left="5"/>
        <w:spacing w:after="0"/>
        <w:tabs>
          <w:tab w:leader="none" w:pos="385" w:val="left"/>
          <w:tab w:leader="none" w:pos="1325" w:val="left"/>
          <w:tab w:leader="none" w:pos="1725"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5,303,526</w:t>
      </w:r>
      <w:r>
        <w:rPr>
          <w:sz w:val="20"/>
          <w:szCs w:val="20"/>
          <w:color w:val="auto"/>
        </w:rPr>
        <w:tab/>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5,300,190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5601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229" w:right="339" w:bottom="1136" w:gutter="0" w:footer="0" w:header="0"/>
        </w:sectPr>
      </w:pPr>
    </w:p>
    <w:p>
      <w:pPr>
        <w:spacing w:after="0" w:line="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charged the amount of $8,199 and $9,381 to provision for credit losses,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primarily of specialty food products. At March 31, 2026 and December 31, 2025, inventory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inventory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3,128,986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3,473,604</w:t>
            </w: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property and equipment at March 31, 2026 and December 31, 2025 is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208,140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208,140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951,101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951,101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266,329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262,769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451,705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451,432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696,915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694,715</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311,659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286,509</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2,885,849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2,854,666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(1,620,107)</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(1,581,356)</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expense for property and equipment amounted to $38,751 and $50,171 for the three months ended March 31, 2026 and 2025, respectively. Depreciation expense for property and equipment is recorded in selling, general &amp; administrative expenses on the Company’s statement of operations. During the three months ended March 31, 2026 and 2025, the Company acquired property and equipment in the amount of $31,183 and $163,366,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CLASSIFIED AS HELD FOR SALE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Assets held for sale include the net book value of property and equipment the Company plans to sell within the next year. Long lived assets that meet the criteria are held for sale and reported at the lower of their carrying value or fair value less estimated cost to sell.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classified the land and building located at 220 Oak Hill Road, Mountain Top, Pennsylvania, as held for sale. During the year ended December 31, 2025, the Company classified certain leasehold improvements at the Mountain Top property as held for sale. This property was sold during the three months ended March 31, 2026. See Note 4 for additional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net book value of these assets consisted of the following at December 31, 2025:</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10020" w:type="dxa"/>
            <w:vAlign w:val="bottom"/>
          </w:tcPr>
          <w:p>
            <w:pPr>
              <w:spacing w:after="0"/>
              <w:rPr>
                <w:sz w:val="24"/>
                <w:szCs w:val="24"/>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0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871,372</w:t>
            </w:r>
          </w:p>
        </w:tc>
        <w:tc>
          <w:tcPr>
            <w:tcW w:w="80" w:type="dxa"/>
            <w:vAlign w:val="bottom"/>
          </w:tcPr>
          <w:p>
            <w:pPr>
              <w:spacing w:after="0"/>
              <w:rPr>
                <w:sz w:val="18"/>
                <w:szCs w:val="18"/>
                <w:color w:val="auto"/>
              </w:rPr>
            </w:pPr>
          </w:p>
        </w:tc>
      </w:tr>
      <w:tr>
        <w:trPr>
          <w:trHeight w:val="22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5,070,561</w:t>
            </w:r>
          </w:p>
        </w:tc>
        <w:tc>
          <w:tcPr>
            <w:tcW w:w="80" w:type="dxa"/>
            <w:vAlign w:val="bottom"/>
            <w:shd w:val="clear" w:color="auto" w:fill="CCEEFF"/>
          </w:tcPr>
          <w:p>
            <w:pPr>
              <w:spacing w:after="0"/>
              <w:rPr>
                <w:sz w:val="19"/>
                <w:szCs w:val="19"/>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6,144,793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136"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136"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RIGHT OF USE ASSETS AND LEASE LIABILITIES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OPERATING 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offices, warehouses, vehicles, and office equipment. The Company’s leases have remaining lease terms of 1 year to 3 years, some of which include options to extend.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lease expense for the three months ended March 31, 2026 and 2025 was entirely comprised of operating leases and amounted to $75,877 and $70,866,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ROU asset amortization for the three months ended March 31, 2026 and 2025 was $68,896 and $61,469, respectively. The difference between the lease expense and the associated ROU asset amortization consists of interest.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weighted-average discount rate for operating leases was 7.00% at March 31, 2026 and December 31, 2025. The weighted-average remaining lease term of operating leases was 1.68 and 2.16 years at March 31, 2026 and December 31, 2025,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 operating leases are summarized below:</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349,168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411,060</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94,325</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512,389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liabilities are summarized below:</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359,013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419,168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(294,679)</w:t>
            </w: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(285,534)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234,963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Maturity analysis under these lease agreements are as follows for the year ended December 31:</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237,186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(28,699)</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RIGHT OF USE ASSETS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FINANCING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financing leases for vehicles and warehouse equipment. Right of use asset – financing leases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214,405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404,858</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200,097</w:t>
            </w: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(162,694)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(399,615)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right of use assets for the three months ended March 31, 2026 and 2025 was $5,954 and $24,915,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interest rate for financing leases was 5.4% and 5.77% at March 31, 2026 and December 31, 2025, respectively. The weighted-average remaining lease term of financing leases was .92 and 2.80 years at March 31, 2026 and December 31, 2025, respectively.</w:t>
      </w:r>
    </w:p>
    <w:p>
      <w:pPr>
        <w:sectPr>
          <w:pgSz w:w="11900" w:h="16838" w:orient="portrait"/>
          <w:cols w:equalWidth="0" w:num="1">
            <w:col w:w="11240"/>
          </w:cols>
          <w:pgMar w:left="320" w:top="229" w:right="339" w:bottom="596"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596"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lease liabilities are summarized below:</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March 31, 2020 in the original amount of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$152,548 payable in eighty-four monthly installments of $2,188 including interest at the rate of 5.44%. During the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three months ended March 31, 2026, the Company made principal and interest payments on this lease obligation in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amounts of $6,189 and $375, respectively. During the three months ended March 31, 2025, the Company made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and interest payments on this lease obligation in the amount of $5,862 and $702, respectively.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29,616</w:t>
            </w:r>
          </w:p>
        </w:tc>
      </w:tr>
    </w:tbl>
    <w:p>
      <w:pPr>
        <w:spacing w:after="0" w:line="198" w:lineRule="exact"/>
        <w:rPr>
          <w:sz w:val="20"/>
          <w:szCs w:val="20"/>
          <w:color w:val="auto"/>
        </w:rPr>
      </w:pPr>
    </w:p>
    <w:p>
      <w:pPr>
        <w:sectPr>
          <w:pgSz w:w="11900" w:h="16838" w:orient="portrait"/>
          <w:cols w:equalWidth="0" w:num="1">
            <w:col w:w="11240"/>
          </w:cols>
          <w:pgMar w:left="320" w:top="216" w:right="339" w:bottom="0" w:gutter="0" w:footer="0" w:header="0"/>
        </w:sectPr>
      </w:pPr>
    </w:p>
    <w:p>
      <w:pPr>
        <w:spacing w:after="0"/>
        <w:rPr>
          <w:sz w:val="20"/>
          <w:szCs w:val="20"/>
          <w:color w:val="auto"/>
        </w:rPr>
      </w:pPr>
      <w:r>
        <w:rPr>
          <w:rFonts w:ascii="Times New Roman" w:cs="Times New Roman" w:eastAsia="Times New Roman" w:hAnsi="Times New Roman"/>
          <w:sz w:val="18"/>
          <w:szCs w:val="18"/>
          <w:color w:val="auto"/>
        </w:rPr>
        <w:t>Financing lease obligation under a lease agreement for a truck dated August 23, 2019 in the original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29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$80,413 payable in eighty-four monthly installments of $1,148 including interest at the rate of 5.0%. During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three months ended March 31, 2026, the Company concluded the obligation was fully paid off. Accordingly, there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were no principal or interest payments made and the balance is zero as of March 31, 2026. During the three months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ended March 31, 2025, the Company made principal and interest payments on this lease obligation in the amounts</w:t>
      </w:r>
    </w:p>
    <w:p>
      <w:pPr>
        <w:spacing w:after="0" w:line="9" w:lineRule="exact"/>
        <w:rPr>
          <w:sz w:val="20"/>
          <w:szCs w:val="20"/>
          <w:color w:val="auto"/>
        </w:rPr>
      </w:pPr>
    </w:p>
    <w:p>
      <w:pPr>
        <w:ind w:left="180"/>
        <w:spacing w:after="0"/>
        <w:tabs>
          <w:tab w:leader="none" w:pos="8660" w:val="left"/>
        </w:tabs>
        <w:rPr>
          <w:sz w:val="20"/>
          <w:szCs w:val="20"/>
          <w:color w:val="auto"/>
        </w:rPr>
      </w:pPr>
      <w:r>
        <w:rPr>
          <w:rFonts w:ascii="Times New Roman" w:cs="Times New Roman" w:eastAsia="Times New Roman" w:hAnsi="Times New Roman"/>
          <w:sz w:val="18"/>
          <w:szCs w:val="18"/>
          <w:color w:val="auto"/>
        </w:rPr>
        <w:t>of $3,196 and $248, respectively.</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r>
    </w:tbl>
    <w:p>
      <w:pPr>
        <w:spacing w:after="0" w:line="200" w:lineRule="exact"/>
        <w:rPr>
          <w:sz w:val="20"/>
          <w:szCs w:val="20"/>
          <w:color w:val="auto"/>
        </w:rPr>
      </w:pPr>
    </w:p>
    <w:p>
      <w:pPr>
        <w:sectPr>
          <w:pgSz w:w="11900" w:h="16838" w:orient="portrait"/>
          <w:cols w:equalWidth="0" w:num="2">
            <w:col w:w="9020" w:space="720"/>
            <w:col w:w="1500"/>
          </w:cols>
          <w:pgMar w:left="320" w:top="216" w:right="339" w:bottom="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obligation under a lease agreement for warehouse equipment dated September 12, 2024 in the original</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of $180,740 payable in sixty monthly payments in the minimum amount of $2,846 including interest at the</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 of 6.01%. The amount of the monthly payments is based upon the amount of supplies and materials the</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purchases from the lessor each month. During the three months ended March 31, 2026, the Company</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made principal and interest payments on this lease obligation in the amount of $0 and capitalized interest in the</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of $813. During the three months ended March 31, 2025, the Company made principal and interest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this lease obligation in the amounts of $50,828 and $2,154, respectively. On March 18, 2026, this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was assumed by a third party for a payment to the Company in the amount of $10,000. A loss of $79,599 was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recorded on this transaction.</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64,029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23,427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101,549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23,427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48,866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maturities</w:t>
            </w: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There was no accrued interest on financing leases at March 31, 2026 and December 31, 2025.</w:t>
            </w: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Aggregate maturities of lease liabilities – financing leases: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 the period ended December 31,</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acquired certain indefinite intangible assets pursuant to the acquisitions of Artisan Specialty Foods, Inc. (“Artisan”) and Golden Organics, Inc. (“Golden Organics”). These assets include trade names and customer lists.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Amortizable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balances of other amortizable intangible assets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Customer lists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Customer lists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the three months ended March 31, 2026 and 2025 was $21,579 and $21,578, respectively.</w:t>
      </w:r>
    </w:p>
    <w:p>
      <w:pPr>
        <w:sectPr>
          <w:pgSz w:w="11900" w:h="16838" w:orient="portrait"/>
          <w:cols w:equalWidth="0" w:num="1">
            <w:col w:w="11240"/>
          </w:cols>
          <w:pgMar w:left="320" w:top="216" w:right="339" w:bottom="0" w:gutter="0" w:footer="0" w:header="0"/>
          <w:type w:val="continuous"/>
        </w:sect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0" w:gutter="0" w:footer="0" w:header="0"/>
          <w:type w:val="continuous"/>
        </w:sectPr>
      </w:pPr>
    </w:p>
    <w:bookmarkStart w:id="17" w:name="page18"/>
    <w:bookmarkEnd w:id="17"/>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amortization expense for intangible assets as of March 31, 2026 is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twelve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Indefinite-lived intangible assets consist of $217,000 of indefinite intangible assets held by Artisan.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ACCOUNTS PAYABLE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at March 31, 2026 and December 31, 2025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payroll and commissions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ACCRUED SEPARATION COSTS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345"/>
        <w:spacing w:after="0"/>
        <w:tabs>
          <w:tab w:leader="none" w:pos="1945"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86,313</w:t>
      </w:r>
    </w:p>
    <w:p>
      <w:pPr>
        <w:spacing w:after="0" w:line="27" w:lineRule="exact"/>
        <w:rPr>
          <w:sz w:val="20"/>
          <w:szCs w:val="20"/>
          <w:color w:val="auto"/>
        </w:rPr>
      </w:pPr>
    </w:p>
    <w:p>
      <w:pPr>
        <w:ind w:left="1965"/>
        <w:spacing w:after="0"/>
        <w:rPr>
          <w:sz w:val="20"/>
          <w:szCs w:val="20"/>
          <w:color w:val="auto"/>
        </w:rPr>
      </w:pPr>
      <w:r>
        <w:rPr>
          <w:rFonts w:ascii="Times New Roman" w:cs="Times New Roman" w:eastAsia="Times New Roman" w:hAnsi="Times New Roman"/>
          <w:sz w:val="18"/>
          <w:szCs w:val="18"/>
          <w:color w:val="auto"/>
        </w:rPr>
        <w:t>86,313</w:t>
      </w:r>
    </w:p>
    <w:p>
      <w:pPr>
        <w:spacing w:after="0" w:line="9" w:lineRule="exact"/>
        <w:rPr>
          <w:sz w:val="20"/>
          <w:szCs w:val="20"/>
          <w:color w:val="auto"/>
        </w:rPr>
      </w:pPr>
    </w:p>
    <w:p>
      <w:pPr>
        <w:ind w:left="1965"/>
        <w:spacing w:after="0"/>
        <w:rPr>
          <w:sz w:val="20"/>
          <w:szCs w:val="20"/>
          <w:color w:val="auto"/>
        </w:rPr>
      </w:pPr>
      <w:r>
        <w:rPr>
          <w:rFonts w:ascii="Times New Roman" w:cs="Times New Roman" w:eastAsia="Times New Roman" w:hAnsi="Times New Roman"/>
          <w:sz w:val="18"/>
          <w:szCs w:val="18"/>
          <w:color w:val="auto"/>
        </w:rPr>
        <w:t>86,313</w:t>
      </w:r>
    </w:p>
    <w:p>
      <w:pPr>
        <w:spacing w:after="0" w:line="9" w:lineRule="exact"/>
        <w:rPr>
          <w:sz w:val="20"/>
          <w:szCs w:val="20"/>
          <w:color w:val="auto"/>
        </w:rPr>
      </w:pPr>
    </w:p>
    <w:p>
      <w:pPr>
        <w:ind w:left="1965"/>
        <w:spacing w:after="0"/>
        <w:rPr>
          <w:sz w:val="20"/>
          <w:szCs w:val="20"/>
          <w:color w:val="auto"/>
        </w:rPr>
      </w:pPr>
      <w:r>
        <w:rPr>
          <w:rFonts w:ascii="Times New Roman" w:cs="Times New Roman" w:eastAsia="Times New Roman" w:hAnsi="Times New Roman"/>
          <w:sz w:val="18"/>
          <w:szCs w:val="18"/>
          <w:color w:val="auto"/>
        </w:rPr>
        <w:t>57,541</w:t>
      </w:r>
    </w:p>
    <w:p>
      <w:pPr>
        <w:spacing w:after="0" w:line="31" w:lineRule="exact"/>
        <w:rPr>
          <w:sz w:val="20"/>
          <w:szCs w:val="20"/>
          <w:color w:val="auto"/>
        </w:rPr>
      </w:pPr>
    </w:p>
    <w:p>
      <w:pPr>
        <w:ind w:left="1345"/>
        <w:spacing w:after="0"/>
        <w:tabs>
          <w:tab w:leader="none" w:pos="1845"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316,480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34290</wp:posOffset>
            </wp:positionV>
            <wp:extent cx="7029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1"/>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ind w:left="425" w:hanging="425"/>
        <w:spacing w:after="0"/>
        <w:tabs>
          <w:tab w:leader="none" w:pos="4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2,673,111   $   2,956,240</w:t>
      </w:r>
    </w:p>
    <w:p>
      <w:pPr>
        <w:spacing w:after="0" w:line="7" w:lineRule="exact"/>
        <w:rPr>
          <w:rFonts w:ascii="Times New Roman" w:cs="Times New Roman" w:eastAsia="Times New Roman" w:hAnsi="Times New Roman"/>
          <w:sz w:val="18"/>
          <w:szCs w:val="18"/>
          <w:color w:val="auto"/>
        </w:rPr>
      </w:pPr>
    </w:p>
    <w:p>
      <w:pPr>
        <w:ind w:left="5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151,73979,559</w:t>
      </w:r>
    </w:p>
    <w:p>
      <w:pPr>
        <w:spacing w:after="0" w:line="31" w:lineRule="exact"/>
        <w:rPr>
          <w:sz w:val="20"/>
          <w:szCs w:val="20"/>
          <w:color w:val="auto"/>
        </w:rPr>
      </w:pPr>
    </w:p>
    <w:p>
      <w:pPr>
        <w:ind w:left="5"/>
        <w:spacing w:after="0"/>
        <w:tabs>
          <w:tab w:leader="none" w:pos="385" w:val="left"/>
          <w:tab w:leader="none" w:pos="1325" w:val="left"/>
          <w:tab w:leader="none" w:pos="1725"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2,824,850</w:t>
      </w:r>
      <w:r>
        <w:rPr>
          <w:sz w:val="20"/>
          <w:szCs w:val="20"/>
          <w:color w:val="auto"/>
        </w:rPr>
        <w:tab/>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3,035,799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5601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668" w:lineRule="exact"/>
        <w:rPr>
          <w:sz w:val="20"/>
          <w:szCs w:val="20"/>
          <w:color w:val="auto"/>
        </w:rPr>
      </w:pPr>
    </w:p>
    <w:p>
      <w:pPr>
        <w:sectPr>
          <w:pgSz w:w="11900" w:h="16891" w:orient="portrait"/>
          <w:cols w:equalWidth="0" w:num="2">
            <w:col w:w="7955" w:space="720"/>
            <w:col w:w="2565"/>
          </w:cols>
          <w:pgMar w:left="320" w:top="229" w:right="339" w:bottom="0" w:gutter="0" w:footer="0" w:header="0"/>
        </w:sectPr>
      </w:pP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3, 2023, the Company entered into a Severance Note, an Agreement and General Release, and a Side Letter thereto (the “SK Agreements”) with Sam Klepfish, its prior Chief Executive Officer (“CEO”) and a previous board member. The SK Agreements provide, among other things, for Mr. Kelpfish’s resignation from all positions with the Company and its subsidiaries on February 28, 2023, except that Mr. Klepfish will remain a director and member of the board of the Company, confidentiality and non-disparagement conditions, nomination of Mr. Klepfish for future election to the board of directors at least through the 2024 general meeting of shareholders based on certain minimum stock ownership and board observer rights when Mr. Klepfish is no longer a director but maintains certain minimum agreed upon stock ownership. The payment terms are $250,000 upon effectiveness and an additional $1,000,000 payable in weekly payments of $6,410.26 from March 8, 2023 through March 6, 2026. The $250,000 was paid into an escrow account, and was released to Mr. Klepfish on his separation date. The $1,000,000 portion is in the form of an unsecured, non-interest bearing-note payable to Mr. Klepfish. The SK Agreements also called for the delivery of 400,000 shares of the Company’s common stock valued at $168,000 based upon the closing price of the Company’s common stock on Mr. Klepfish’s separation date of February 28, 2023, which were delivered to Mr. Klepfish on April 26, 2023; in addition, for delivery on June 1, 2027 of additional shares of the Company’s common stock equal to the greater of (i) the number of shares with an aggregate fair market value of $400,000 on such date, or (ii) 266,666 shares. The Company also agreed to pay a total of $1,199 of the Consolidated Omnibus Reconciliation Act (“COBRA”) insurance costs on behalf of Mr. Klepfish over eighteen months. The total amount initially accrued in connection with the SK Agreements was $1,819,199. During the three months ended March 31, 2026 and 2025, the Company paid cash in the amount of $64,477 and $83,333, respectively, to Mr. Klepfish in connection with the SK Agreements.</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4, 2025, the Company entered into a separation agreement and general release (the “Bennett Separation Agreement”) with Bill Bennett, pursuant to which Mr. Bennett will resign from his position as the CEO of the Company, effective October 3, 2025. Pursuant to the Bennett Separation Agreement, the Company shall (i) pay Mr. Bennett a severance payments consisting of salary continuation through December 31, 2025, in the total gross amount of $115,501, payable in installments on the Company’s regular payroll dates; and (ii) reimbursement of Mr. Bennett’s group health insurance premiums for the period from November 1, 2025 through September 30, 2026 in the total gross amount of $31,515. During the three months ended March 31, 2026, the Company paid cash in the amount of $16,428 and COBRA payments in the amount of $8,572 under the Bennett Separation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amounts accrued, paid, and outstanding on these agreements as of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Paid /</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Mr. Klepfish:</w:t>
            </w:r>
          </w:p>
        </w:tc>
        <w:tc>
          <w:tcPr>
            <w:tcW w:w="2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0"/>
                <w:szCs w:val="20"/>
                <w:color w:val="auto"/>
              </w:rPr>
            </w:pPr>
          </w:p>
        </w:tc>
        <w:tc>
          <w:tcPr>
            <w:tcW w:w="11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6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12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through March 6, 2026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(1,005,617)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(5,617)*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 upon agreement execution</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 June 1, 2027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 - Issued in April 2023</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168,000</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(168,000)</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 over eighteen months</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1,199</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1,199</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1,199</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 Mr. Klepfish</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1,819,199</w:t>
            </w:r>
          </w:p>
        </w:tc>
        <w:tc>
          <w:tcPr>
            <w:tcW w:w="2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(1,423,617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395,582</w:t>
            </w:r>
          </w:p>
        </w:tc>
        <w:tc>
          <w:tcPr>
            <w:tcW w:w="2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Mr. Bennett: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installments through December 31, 2025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142,485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(126,598)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15,887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Insurance – installments through September 30, 2026</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31,515</w:t>
            </w:r>
          </w:p>
        </w:tc>
        <w:tc>
          <w:tcPr>
            <w:tcW w:w="20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(23,225)</w:t>
            </w:r>
          </w:p>
        </w:tc>
        <w:tc>
          <w:tcPr>
            <w:tcW w:w="16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8,290</w:t>
            </w:r>
          </w:p>
        </w:tc>
        <w:tc>
          <w:tcPr>
            <w:tcW w:w="180" w:type="dxa"/>
            <w:vAlign w:val="bottom"/>
          </w:tcPr>
          <w:p>
            <w:pPr>
              <w:spacing w:after="0"/>
              <w:rPr>
                <w:sz w:val="19"/>
                <w:szCs w:val="19"/>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8,290</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 Mr. Bennett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24,177</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1,993,199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(1,573,440)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419,759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19,759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an overpayment which is expected to be reimbursed.</w:t>
      </w:r>
    </w:p>
    <w:p>
      <w:pPr>
        <w:sectPr>
          <w:pgSz w:w="11900" w:h="16891" w:orient="portrait"/>
          <w:cols w:equalWidth="0" w:num="1">
            <w:col w:w="11240"/>
          </w:cols>
          <w:pgMar w:left="320" w:top="229" w:right="339" w:bottom="0" w:gutter="0" w:footer="0" w:header="0"/>
          <w:type w:val="continuous"/>
        </w:sect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91" w:orient="portrait"/>
          <w:cols w:equalWidth="0" w:num="1">
            <w:col w:w="11240"/>
          </w:cols>
          <w:pgMar w:left="320" w:top="229" w:right="339" w:bottom="0" w:gutter="0" w:footer="0" w:header="0"/>
          <w:type w:val="continuous"/>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 APPRECIATION RIGHTS LIABILITY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May 15, 2023, the Company issued 1,500,000 stock appreciation rights (the “Smallwood SARs”) to Brady Smallwood, its former Chief Operating Officer (“COO”).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Smallwood SARs decreased in fair value in the amount $15,410 and $60,595, respectively; these amounts were charged to non-cash compensation. At March 31, 2026 and December 31, 2025, the Smallwood SARs had a fair value of $733 and $16,143,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change in valuation of the Smallwood SARs is summarized in the table below:</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2023 - fair value</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9,794</w:t>
            </w: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Loss on revaluation</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245,226</w:t>
            </w:r>
          </w:p>
        </w:tc>
        <w:tc>
          <w:tcPr>
            <w:tcW w:w="0" w:type="dxa"/>
            <w:vAlign w:val="bottom"/>
          </w:tcPr>
          <w:p>
            <w:pPr>
              <w:spacing w:after="0"/>
              <w:rPr>
                <w:sz w:val="1"/>
                <w:szCs w:val="1"/>
                <w:color w:val="auto"/>
              </w:rPr>
            </w:pPr>
          </w:p>
        </w:tc>
      </w:tr>
      <w:tr>
        <w:trPr>
          <w:trHeight w:val="209"/>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2023 -fair value</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Loss on revaluation</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1,098,130</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2024 - fair value</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(1,337,007)</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2025 - fair value</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(15,410)</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2026 - fair value</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Smallwood SARs were valued using the Black-Scholes valuation model utilizing the following variables:</w:t>
            </w: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60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86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77.84-205.63%</w:t>
            </w:r>
          </w:p>
        </w:tc>
        <w:tc>
          <w:tcPr>
            <w:tcW w:w="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3.48-4.10%</w:t>
            </w:r>
          </w:p>
        </w:tc>
        <w:tc>
          <w:tcPr>
            <w:tcW w:w="0" w:type="dxa"/>
            <w:vAlign w:val="bottom"/>
          </w:tcPr>
          <w:p>
            <w:pPr>
              <w:spacing w:after="0"/>
              <w:rPr>
                <w:sz w:val="1"/>
                <w:szCs w:val="1"/>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price of the Company’s common stock on the date of the grant of the Smallwood SARs was $0.41. The exercise prices at the dates of the grants were $1.50 and $2.00.</w:t>
      </w:r>
    </w:p>
    <w:p>
      <w:pPr>
        <w:sectPr>
          <w:pgSz w:w="11900" w:h="16838" w:orient="portrait"/>
          <w:cols w:equalWidth="0" w:num="1">
            <w:col w:w="11240"/>
          </w:cols>
          <w:pgMar w:left="320" w:top="229" w:right="339" w:bottom="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NOTES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note payable in the amount of $350,000 issued in connection with the Golden Organics Acquisition (the “GO Note”). The GO Note is payable in 60 equal monthly instalments of $6,766 and bears interest at the rate of 6.0%. During the three months ended March 31, 2026, the Company made principal and interest payments on the GO Note in the amount of $16,138 and $4,161, respectively. During the three months ended March 31, 2025, the Company made principal and interest payments on the GO Note in the amount of $15,201 and $3,295,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-683260</wp:posOffset>
            </wp:positionV>
            <wp:extent cx="7132320" cy="6940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6940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maturities, net of discount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of notes payable as of March 31, 2026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266,655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282,973</w:t>
            </w:r>
          </w:p>
        </w:tc>
      </w:tr>
      <w:tr>
        <w:trPr>
          <w:trHeight w:val="223"/>
        </w:trPr>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5"/>
              </w:rPr>
              <w:t>266,655</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282,973</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08"/>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67,022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66,026</w:t>
            </w:r>
          </w:p>
        </w:tc>
      </w:tr>
      <w:tr>
        <w:trPr>
          <w:trHeight w:val="234"/>
        </w:trPr>
        <w:tc>
          <w:tcPr>
            <w:tcW w:w="320" w:type="dxa"/>
            <w:vAlign w:val="bottom"/>
          </w:tcPr>
          <w:p>
            <w:pPr>
              <w:spacing w:after="0"/>
              <w:rPr>
                <w:sz w:val="20"/>
                <w:szCs w:val="20"/>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199,633</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216,947</w:t>
            </w:r>
          </w:p>
        </w:tc>
      </w:tr>
      <w:tr>
        <w:trPr>
          <w:trHeight w:val="223"/>
        </w:trPr>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5"/>
              </w:rPr>
              <w:t>266,655</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282,973</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49,888</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70,099</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74,422</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72,246</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7029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1" w:lineRule="exact"/>
        <w:rPr>
          <w:sz w:val="20"/>
          <w:szCs w:val="20"/>
          <w:color w:val="auto"/>
        </w:rPr>
      </w:pPr>
    </w:p>
    <w:p>
      <w:pPr>
        <w:ind w:left="1340"/>
        <w:spacing w:after="0"/>
        <w:tabs>
          <w:tab w:leader="none" w:pos="1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266,655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17145</wp:posOffset>
            </wp:positionV>
            <wp:extent cx="7029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34290</wp:posOffset>
            </wp:positionV>
            <wp:extent cx="7029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104" w:lineRule="exact"/>
        <w:rPr>
          <w:sz w:val="20"/>
          <w:szCs w:val="20"/>
          <w:color w:val="auto"/>
        </w:rPr>
      </w:pPr>
    </w:p>
    <w:p>
      <w:pPr>
        <w:sectPr>
          <w:pgSz w:w="11900" w:h="16838" w:orient="portrait"/>
          <w:cols w:equalWidth="0" w:num="2">
            <w:col w:w="8400" w:space="280"/>
            <w:col w:w="2560"/>
          </w:cols>
          <w:pgMar w:left="320" w:top="229" w:right="339" w:bottom="0" w:gutter="0" w:footer="0" w:header="0"/>
          <w:type w:val="continuous"/>
        </w:sectPr>
      </w:pP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total number of shares of common stock issued and total number of shares of common stock outstanding was 57,493,776 and 54,649,479, respectively. As of December 31, 2025, total number of shares of common stock issued and total number of shares of common stock outstanding was 57,493,776 and 54,649,479, respectively. At March 31, 2026 and December 31, 2025, a total of 2,844,297 shares of common stock were deemed issued but not outstanding.</w:t>
      </w:r>
    </w:p>
    <w:p>
      <w:pPr>
        <w:sectPr>
          <w:pgSz w:w="11900" w:h="16838" w:orient="portrait"/>
          <w:cols w:equalWidth="0" w:num="1">
            <w:col w:w="11240"/>
          </w:cols>
          <w:pgMar w:left="320" w:top="229" w:right="339"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For the three months ended March 31, 2026, the Company did not issue any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the common stock activity for the three months ended March 31,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9, 2025, the Company issued 60,000 shares of common stock pursuant to the cashless exercise of options held by an ex-employee to purchase 130,000 shares of common stock at a price of $1.25 per share and an additional 130,000 shares of common stock at a price of $1.75 per share. There was no gain or loss recorded on this transaction.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13, 2025, the Company issued 24,026 shares of common stock pursuant to the cashless exercise of options held by an ex-employee to purchase 50,000 shares of common stock at a price of $1.00 per share. There was no gain or loss recorded on this transaction.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14, 2025, the Company issued the following shares of common stock to its executive officers pursuant to executive compensation plans: 530,665 shares were issued to its CEO; 133,632 shares were issued to its COO; and 73,735 shares were issued to its CFO. These shares were classified as shares to be issued on the Company’s balance sheet at December 31, 2024. There was no gain or loss recorded on this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Stock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Predecessor CEO Stock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stock plan with Mr. Bennett (the “Predecessor CEO Stock Plan”) had a fair value of $660,541 at inception (see “Stock Plan Valuation” section below). This amount is being amortized over the 34-month life of the plan. During the years ended December 31, 2025 and 2024, $232,361 and $233,132 of this amount was charged to operations,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price targets of $1.80 and $2.00 were achieved, and Mr. Bennett became eligible to receive an additional total of 487,566 shares. A total of 1,018,231 shares were issued to Mr. Bennett, net of 444,468 shares withheld for taxes; at December 31, 2025, there are no further shares due to Mr. Bennett pursuant to the Predecessor CEO Stock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4, 2025, the Company entered into a separation agreement and general release with Mr. Bennett, pursuant to which Mr. Bennett resigned from his position as the CEO of the Company effective October 1, 2025. During the year ended December 31, 2025, the Company charged the unamortized portion of the value of the Predecessor CEO Stock Plan in the amount of $115,795 to compensation expense and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shares unvested under the Predecessor CEO Stock Plan at March 31, 2026 or December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 Stock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14, 2023, the Company entered into an employment agreement with Brady Smallwood to become the Company’s COO effective May 15, 2023. Pursuant to this agreement, Mr. Smallwood was provided with an incentive compensation plan (the “COO Stock Plan”) whereby Mr. Smallwood would be granted shares of the Company’s common stock upon the common stock meeting certain price points at various 60-day volume weighted prices, as described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300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5160" w:type="dxa"/>
            <w:vAlign w:val="bottom"/>
            <w:tcBorders>
              <w:bottom w:val="single" w:sz="8" w:color="auto"/>
            </w:tcBorders>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w w:val="99"/>
              </w:rPr>
              <w:t>Number of Shares Granted - Lower of:</w:t>
            </w:r>
          </w:p>
        </w:tc>
        <w:tc>
          <w:tcPr>
            <w:tcW w:w="2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20" w:type="dxa"/>
            <w:vAlign w:val="bottom"/>
          </w:tcPr>
          <w:p>
            <w:pPr>
              <w:spacing w:after="0"/>
              <w:rPr>
                <w:sz w:val="16"/>
                <w:szCs w:val="16"/>
                <w:color w:val="auto"/>
              </w:rPr>
            </w:pPr>
          </w:p>
        </w:tc>
        <w:tc>
          <w:tcPr>
            <w:tcW w:w="3000" w:type="dxa"/>
            <w:vAlign w:val="bottom"/>
            <w:gridSpan w:val="2"/>
            <w:vMerge w:val="continue"/>
          </w:tcPr>
          <w:p>
            <w:pPr>
              <w:spacing w:after="0"/>
              <w:rPr>
                <w:sz w:val="16"/>
                <w:szCs w:val="16"/>
                <w:color w:val="auto"/>
              </w:rPr>
            </w:pPr>
          </w:p>
        </w:tc>
        <w:tc>
          <w:tcPr>
            <w:tcW w:w="5160" w:type="dxa"/>
            <w:vAlign w:val="bottom"/>
            <w:gridSpan w:val="3"/>
          </w:tcPr>
          <w:p>
            <w:pPr>
              <w:jc w:val="center"/>
              <w:ind w:right="16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Issued</w:t>
            </w:r>
          </w:p>
        </w:tc>
        <w:tc>
          <w:tcPr>
            <w:tcW w:w="2160" w:type="dxa"/>
            <w:vAlign w:val="bottom"/>
          </w:tcPr>
          <w:p>
            <w:pPr>
              <w:jc w:val="center"/>
              <w:ind w:right="1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300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516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and Outstanding on</w:t>
            </w:r>
          </w:p>
        </w:tc>
        <w:tc>
          <w:tcPr>
            <w:tcW w:w="22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8"/>
        </w:trPr>
        <w:tc>
          <w:tcPr>
            <w:tcW w:w="8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20" w:type="dxa"/>
            <w:vAlign w:val="bottom"/>
            <w:tcBorders>
              <w:bottom w:val="single" w:sz="8" w:color="CCEEFF"/>
            </w:tcBorders>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13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147,470</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98,313</w:t>
            </w:r>
          </w:p>
        </w:tc>
        <w:tc>
          <w:tcPr>
            <w:tcW w:w="0" w:type="dxa"/>
            <w:vAlign w:val="bottom"/>
          </w:tcPr>
          <w:p>
            <w:pPr>
              <w:spacing w:after="0"/>
              <w:rPr>
                <w:sz w:val="1"/>
                <w:szCs w:val="1"/>
                <w:color w:val="auto"/>
              </w:rPr>
            </w:pPr>
          </w:p>
        </w:tc>
      </w:tr>
      <w:tr>
        <w:trPr>
          <w:trHeight w:val="216"/>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73,735</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73,735</w:t>
            </w:r>
          </w:p>
        </w:tc>
        <w:tc>
          <w:tcPr>
            <w:tcW w:w="0" w:type="dxa"/>
            <w:vAlign w:val="bottom"/>
          </w:tcPr>
          <w:p>
            <w:pPr>
              <w:spacing w:after="0"/>
              <w:rPr>
                <w:sz w:val="1"/>
                <w:szCs w:val="1"/>
                <w:color w:val="auto"/>
              </w:rPr>
            </w:pPr>
          </w:p>
        </w:tc>
      </w:tr>
      <w:tr>
        <w:trPr>
          <w:trHeight w:val="216"/>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c>
          <w:tcPr>
            <w:tcW w:w="0" w:type="dxa"/>
            <w:vAlign w:val="bottom"/>
          </w:tcPr>
          <w:p>
            <w:pPr>
              <w:spacing w:after="0"/>
              <w:rPr>
                <w:sz w:val="1"/>
                <w:szCs w:val="1"/>
                <w:color w:val="auto"/>
              </w:rPr>
            </w:pPr>
          </w:p>
        </w:tc>
      </w:tr>
      <w:tr>
        <w:trPr>
          <w:trHeight w:val="234"/>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tcPr>
          <w:p>
            <w:pPr>
              <w:spacing w:after="0"/>
              <w:rPr>
                <w:sz w:val="20"/>
                <w:szCs w:val="20"/>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COO Stock Plan had a fair value of $199,951 at inception (see “Valuation of Executive Stock Plans” section below). This amount is being amortized over the 31.5-month life of the plan. During the three months ended March 31, 2026 and 2025, $0 and $19,043 of this amount was charged to operations,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14, 2025, the price target of $1.74 per share under the COO Stock Plan was achieved and 73,735 shares of common stock vested; and on March 7, 2025, the price target of $2.03 per share under the COO Stock Plan was achieved, and 73,735 shares of common stock vested. The total number of shares vested for achievement of the $1.74, and $2.03 price targets was 147,470. These shares were issued during the year ended December 31, 2025. On December 31, 2025, a total of 147,471 unvested shares were forfeited under the COO Stock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Successor CEO Stock Plan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3, 2025, the Company entered into an employment agreement with Gary Schubert pursuant to which he will serve as the Company’s Chief Executive Officer (the “CEO Employment Agreement”). The CEO Employment Agreement provides for the grant of 1,350,000 shares of the Company’s common stock, subject to a vesting schedule, no later than March 31, 2026 (the “Successor CEO Stock Plan”). As of March 31, 2026, such shares had not yet been granted. The Company and Mr. Schubert are working collaboratively and in good faith to finalize the applicable vesting schedule, performance criteria and related grant documentation, with the objective of completing the grant process by June 30, 2026. The parties have not entered into an amendment to the CEO Employment Agreement, and no waiver of any rights or obligations thereunder has been made. As of the date of this filing, there are no disputes between the Company and Mr. Schubert regarding the Successor CEO Stock Grant, and Mr. Schubert has not delivered any notice of resignation for Good Reason under the CEO Employment Agreement. In the event Mr. Schubert were to deliver such a notice, the CEO Employment Agreement provides the Company with a 60-calendar-day period to cure the circumstances giving rise to such notice, as provided therein. The CEO Employment Agreement and Successor CEO Stock Plan replaced Mr. Schubert’s executive compensation plan that was in place during his role as the Company’s Chief Financial Officer.</w:t>
      </w:r>
    </w:p>
    <w:p>
      <w:pPr>
        <w:sectPr>
          <w:pgSz w:w="11900" w:h="16838" w:orient="portrait"/>
          <w:cols w:equalWidth="0" w:num="1">
            <w:col w:w="11240"/>
          </w:cols>
          <w:pgMar w:left="320" w:top="229" w:right="339" w:bottom="339"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339"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CFO Stock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29, 2023, the Company entered into an employment agreement with Gary Schubert to become the Company’s Chief Financial Officer effective January 1, 2024. Pursuant to this agreement, Mr. Schubert was provided with an incentive compensation plan (the “Prior CFO Stock Plan”) whereby Mr. Schubert would be granted shares of the Company’s common stock upon the common stock meeting certain price points at various 60-day volume weighted prices, as described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300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5160" w:type="dxa"/>
            <w:vAlign w:val="bottom"/>
            <w:tcBorders>
              <w:bottom w:val="single" w:sz="8" w:color="auto"/>
            </w:tcBorders>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w w:val="99"/>
              </w:rPr>
              <w:t>Number of Shares Granted - Lower of:</w:t>
            </w:r>
          </w:p>
        </w:tc>
        <w:tc>
          <w:tcPr>
            <w:tcW w:w="2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20" w:type="dxa"/>
            <w:vAlign w:val="bottom"/>
          </w:tcPr>
          <w:p>
            <w:pPr>
              <w:spacing w:after="0"/>
              <w:rPr>
                <w:sz w:val="16"/>
                <w:szCs w:val="16"/>
                <w:color w:val="auto"/>
              </w:rPr>
            </w:pPr>
          </w:p>
        </w:tc>
        <w:tc>
          <w:tcPr>
            <w:tcW w:w="3000" w:type="dxa"/>
            <w:vAlign w:val="bottom"/>
            <w:gridSpan w:val="2"/>
            <w:vMerge w:val="continue"/>
          </w:tcPr>
          <w:p>
            <w:pPr>
              <w:spacing w:after="0"/>
              <w:rPr>
                <w:sz w:val="16"/>
                <w:szCs w:val="16"/>
                <w:color w:val="auto"/>
              </w:rPr>
            </w:pPr>
          </w:p>
        </w:tc>
        <w:tc>
          <w:tcPr>
            <w:tcW w:w="5160" w:type="dxa"/>
            <w:vAlign w:val="bottom"/>
            <w:gridSpan w:val="3"/>
          </w:tcPr>
          <w:p>
            <w:pPr>
              <w:jc w:val="center"/>
              <w:ind w:right="16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Issued</w:t>
            </w:r>
          </w:p>
        </w:tc>
        <w:tc>
          <w:tcPr>
            <w:tcW w:w="2160" w:type="dxa"/>
            <w:vAlign w:val="bottom"/>
          </w:tcPr>
          <w:p>
            <w:pPr>
              <w:jc w:val="center"/>
              <w:ind w:right="1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300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516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and Outstanding on</w:t>
            </w:r>
          </w:p>
        </w:tc>
        <w:tc>
          <w:tcPr>
            <w:tcW w:w="22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8"/>
        </w:trPr>
        <w:tc>
          <w:tcPr>
            <w:tcW w:w="8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20" w:type="dxa"/>
            <w:vAlign w:val="bottom"/>
            <w:tcBorders>
              <w:bottom w:val="single" w:sz="8" w:color="CCEEFF"/>
            </w:tcBorders>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13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98,313</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65,542</w:t>
            </w:r>
          </w:p>
        </w:tc>
        <w:tc>
          <w:tcPr>
            <w:tcW w:w="0" w:type="dxa"/>
            <w:vAlign w:val="bottom"/>
          </w:tcPr>
          <w:p>
            <w:pPr>
              <w:spacing w:after="0"/>
              <w:rPr>
                <w:sz w:val="1"/>
                <w:szCs w:val="1"/>
                <w:color w:val="auto"/>
              </w:rPr>
            </w:pPr>
          </w:p>
        </w:tc>
      </w:tr>
      <w:tr>
        <w:trPr>
          <w:trHeight w:val="216"/>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c>
          <w:tcPr>
            <w:tcW w:w="0" w:type="dxa"/>
            <w:vAlign w:val="bottom"/>
          </w:tcPr>
          <w:p>
            <w:pPr>
              <w:spacing w:after="0"/>
              <w:rPr>
                <w:sz w:val="1"/>
                <w:szCs w:val="1"/>
                <w:color w:val="auto"/>
              </w:rPr>
            </w:pPr>
          </w:p>
        </w:tc>
      </w:tr>
      <w:tr>
        <w:trPr>
          <w:trHeight w:val="216"/>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32,771</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32,771</w:t>
            </w:r>
          </w:p>
        </w:tc>
        <w:tc>
          <w:tcPr>
            <w:tcW w:w="0" w:type="dxa"/>
            <w:vAlign w:val="bottom"/>
          </w:tcPr>
          <w:p>
            <w:pPr>
              <w:spacing w:after="0"/>
              <w:rPr>
                <w:sz w:val="1"/>
                <w:szCs w:val="1"/>
                <w:color w:val="auto"/>
              </w:rPr>
            </w:pPr>
          </w:p>
        </w:tc>
      </w:tr>
      <w:tr>
        <w:trPr>
          <w:trHeight w:val="234"/>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tcPr>
          <w:p>
            <w:pPr>
              <w:spacing w:after="0"/>
              <w:rPr>
                <w:sz w:val="20"/>
                <w:szCs w:val="20"/>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32,771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Prior CFO Stock Plan had a fair value of $238,747 at inception (see “Valuation of Executive Stock Plans” section below). This amount is being amortized over the 30-month life of the plan. During the three months ended March 31, 2026 and 2025, $23,874 and $23,875 of this amount was charged to operations,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2025, the price target of $2.04 per share under the Prior CFO Stock Plan was achieved and 65,542 shares of common stock vested. These shares were issued during the year ended December 31, 2025. On October 3, 2025, a total of 196,627 unvested shares were forfeited under the Prior CFO Stock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Valuation of Executive Stock Plans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relied upon the guidance of Statement of Financial Account Standards No. 718 Compensation – Stock Compensation (“ASC 718”) in accounting for the Predecessor CEO Stock Plan, the COO Stock Plan, and the Prior CFO Stock Plan (collectively, the Executive Stock Plans). A Monte Carlo market-based performance stock awards model was used in valuing the Executive Stock Plans, with the following assumptions:</w:t>
      </w:r>
    </w:p>
    <w:p>
      <w:pPr>
        <w:spacing w:after="0" w:line="176"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price for each trading day would fluctuate with an estimated projected volatility using a normal distribution. The stock price of the underlying instrument is modeled such that it follows a geometric Brownian motion with constant drift and volatility.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would award the stock upon triggering the thresholds.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attrition or forfeiture rates (i.e., pre–vesting forfeiture assumption) are assumed to be zero given the holder’s position with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projected capital events were included in the adjustments to the shares issued and outstanding in the projected simulations.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Awards/payouts were discounted at the risk–free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there was no stock options activity.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the stock option activity for the three months ended March 31,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9, 2025, the Company issued 60,000 shares of common stock pursuant to the cashless exercise of options held by an ex-employee to purchase 130,000 shares of common stock at a price of $1.25 per share and an additional 130,000 shares of common stock at a price of $1.75 per share. There was no gain or loss recorded on this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13, 2025, the Company issued 24,026 shares of common stock pursuant to the cashless exercise of options held by an ex-employee to purchase 50,000 shares of common stock at a price of $1.00 per share. There was no gain or loss recorded on this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2025, there were no options outstanding.</w:t>
      </w:r>
    </w:p>
    <w:p>
      <w:pPr>
        <w:sectPr>
          <w:pgSz w:w="11900" w:h="16838" w:orient="portrait"/>
          <w:cols w:equalWidth="0" w:num="1">
            <w:col w:w="11240"/>
          </w:cols>
          <w:pgMar w:left="320" w:top="229"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the CEO, Gary Schubert, and he has determined that the Company operates in one reportable segment: the delivery of specialty foods. This determination was made based upon the characteristics of the Company’s business and the information used by the CODM in order monitor the business and allocate resources.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CODM uses consolidated revenue, gross margin percentage and net income to monitor results. The CODM also uses revenue by category to monitor the growth of the business in each of the Company’s target 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segment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19"/>
                <w:szCs w:val="19"/>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Channels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6,636,757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7,789,527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(1,152,770)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National distribution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2,478,888</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2,802,870</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(323,982)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Local distribution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3,060,928</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4,433,618</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(1,372,690)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12,176,573</w:t>
            </w:r>
          </w:p>
        </w:tc>
        <w:tc>
          <w:tcPr>
            <w:tcW w:w="2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15,026,015</w:t>
            </w:r>
          </w:p>
        </w:tc>
        <w:tc>
          <w:tcPr>
            <w:tcW w:w="2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(2,849,442)</w:t>
            </w:r>
          </w:p>
        </w:tc>
        <w:tc>
          <w:tcPr>
            <w:tcW w:w="220" w:type="dxa"/>
            <w:vAlign w:val="bottom"/>
            <w:vMerge w:val="continue"/>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9,053,952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11,105,751</w:t>
            </w:r>
          </w:p>
        </w:tc>
        <w:tc>
          <w:tcPr>
            <w:tcW w:w="360" w:type="dxa"/>
            <w:vAlign w:val="bottom"/>
          </w:tcPr>
          <w:p>
            <w:pPr>
              <w:spacing w:after="0"/>
              <w:rPr>
                <w:sz w:val="19"/>
                <w:szCs w:val="19"/>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(2,051,799)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3,122,621</w:t>
            </w:r>
          </w:p>
        </w:tc>
        <w:tc>
          <w:tcPr>
            <w:tcW w:w="2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3,920,264</w:t>
            </w:r>
          </w:p>
        </w:tc>
        <w:tc>
          <w:tcPr>
            <w:tcW w:w="2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(797,643)</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OpEx:</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Payroll &amp; related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1,854,186</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2,280,520</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(426,334)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142,821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101,769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41,052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Office, facility, vehicles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219,636</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306,438</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(86,802)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182,804</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113,079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69,725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Travel &amp; entertainment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22,270</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20,005</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2,265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&amp; marketing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1,483</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Banking and credit card processing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4,224</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8,546</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249,443</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525,449</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(276,006)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2,676,935</w:t>
            </w:r>
          </w:p>
        </w:tc>
        <w:tc>
          <w:tcPr>
            <w:tcW w:w="2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3,357,288</w:t>
            </w:r>
          </w:p>
        </w:tc>
        <w:tc>
          <w:tcPr>
            <w:tcW w:w="2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(680,353)</w:t>
            </w:r>
          </w:p>
        </w:tc>
        <w:tc>
          <w:tcPr>
            <w:tcW w:w="220" w:type="dxa"/>
            <w:vAlign w:val="bottom"/>
            <w:vMerge w:val="continue"/>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OpEx:</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Credit loss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8,199</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9,381</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8,464</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161,796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(153,332)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60,330</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71,749</w:t>
            </w:r>
          </w:p>
        </w:tc>
        <w:tc>
          <w:tcPr>
            <w:tcW w:w="36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(11,419)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&amp; fees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18,000</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59,594</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(41,594)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94,993</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302,520</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(207,527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7,302</w:t>
            </w:r>
          </w:p>
        </w:tc>
        <w:tc>
          <w:tcPr>
            <w:tcW w:w="360" w:type="dxa"/>
            <w:vAlign w:val="bottom"/>
          </w:tcPr>
          <w:p>
            <w:pPr>
              <w:spacing w:after="0"/>
              <w:rPr>
                <w:sz w:val="19"/>
                <w:szCs w:val="19"/>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6,637</w:t>
            </w:r>
          </w:p>
        </w:tc>
        <w:tc>
          <w:tcPr>
            <w:tcW w:w="360" w:type="dxa"/>
            <w:vAlign w:val="bottom"/>
          </w:tcPr>
          <w:p>
            <w:pPr>
              <w:spacing w:after="0"/>
              <w:rPr>
                <w:sz w:val="19"/>
                <w:szCs w:val="19"/>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343,391</w:t>
            </w: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253,819</w:t>
            </w: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89,572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12,110,883</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18,543,636</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31,183</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163,366</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3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Payments to Prior Executive Officers under Separation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cash in the amount of $64,477 to Mr. Klepfish, its prior CEO, in connection with the SK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cash in the amount of $25,000 to Mr. Bennett, its prior CEO, in connection with the Bennet Separation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cash in the amount of $83,333 to Mr. Klepfish, its prior CEO, in connection with the SK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MAJOR CUSTOMERS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U.S. Foods, Inc. and its affiliates accounted for approximately 40% and 41% of total consolidated sales, respectively. Gate Gourmet accounted for approximately 15% and 19% of total consolidated sales during the three months ended March 31, 2026 and 2025,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Discontinued operations: Sams Club accounted for approximately 0% and 19% of total consolidated sales in 2026 and 2025, respectively. Sales to Sams Club related entirely to the discontinued Pennsylvania distribution operations and are not expected to continue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the Company’s financial position or its business and the outcome of these matters cannot be ultimately predicted.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in this report to “we,” “our,” “us,” or the “Company” refer to Innovative Food Holdings, Inc. and all of its wholly-owned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information contained in this discussion and elsewhere in this report may include “forward-looking statements” within the meaning of the Private Securities Litigation Reform Act of 1995 (the “Private Securities Litigation Reform Act”), and is subject to the safe harbor created by that act. The safe harbor created by the Private Securities Litigation Reform Act will not apply to certain “forward-looking statements” because we issued “penny stock” (as defined in Section 3(a)(51) of the Securities Exchange Act of 1934, as amended (the “Exchange Act”), and Rule 3(a)(51-1) under the Exchange Act) during the three year period preceding the date(s) on which those forward-looking statements were first made, except to the extent otherwise specifically provided by rule, regulation or order of the Securities and Exchange Commission (the “SEC”).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9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necessary to sustain our anticipated operations and implement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plan, including sale and acquisition of certain operations,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future revenue and operations resulting from changes to our business plan, including our decision to exit certain business lines such as cheese and logistics,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to pay our lenders and other creditors,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three major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qualified management and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efforts and abilities of our current employees and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that are applicable to our current or anticipated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services and different food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or other trade restrictions that may increase costs or disrupt our supply chain,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diversification of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volatility of the capital markets and the establishment of a market for our shares,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and energy costs, and environmental weather conditions.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ectPr>
          <w:pgSz w:w="11900" w:h="16838" w:orient="portrait"/>
          <w:cols w:equalWidth="0" w:num="1">
            <w:col w:w="11240"/>
          </w:cols>
          <w:pgMar w:left="320" w:top="229" w:right="339" w:bottom="1440" w:gutter="0" w:footer="0" w:header="0"/>
        </w:sect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Policy and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 in the Preparation of Financial Statements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among others, doubtful accounts receivable, inventory, valuation of stock-based services, operating right of use assets and liabilities, impairment of intangible assets,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 and Stock Appreciation Rights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options in accordance with FASB ASC 718-40. Options are valued upon issuance utilizing the Black-Scholes valuation model. Option expense is recognized over the requisite service period of the related option award. The following table illustrates certain key information regarding our options, SARS, and valuation assumptions: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6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77.84-205.63%</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3.48-4.10%</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1.00-2.00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maintained an allowance in the amount of $247,272 and $218,319 for credit losses at March 31, 2026 and December 31, 2025, respectively. The Company has an operational relationship of several years with our major customers, and we believe this experience provides us with a solid foundation from which to estimate our expected losses on accounts receivable. Should our sales mix change or if we develop new lines of business or new customers, these estimates and our estimation process will change accordingly. These estimates have been accurate in the past.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right-of-use assets (“ROU assets”) and short-term and long-term lease liabilities are included on the face of the condensed consolidated balance sheet.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build dynamic scalable businesses by selling specialty foods that are difficult to find through traditional channels. Our expertise is forging close relationships with the producers, growers, makers and distributors of specialty products, then carefully selecting our suppliers based on their quality, uniqueness and reliability.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team is adept at evaluating and certifying the food safety and supply chain capabilities of small batch producers who do not typically sell through broad-based sales channels. We seek out the freshest, most unique, origin-specific gourmet cheese, meat, produce, and premium ingredients available, and distribute them directly from our robust network of vendors and warehouses within 24 – 72 hours of an order being placed. We also source, package, and brand a meaningful segment of these products ourselves, enabling us to better control the assortment, offer more flexibility and variety to our customers, and capture additional margin.</w:t>
      </w:r>
    </w:p>
    <w:p>
      <w:pPr>
        <w:sectPr>
          <w:pgSz w:w="11900" w:h="16838" w:orient="portrait"/>
          <w:cols w:equalWidth="0" w:num="1">
            <w:col w:w="11240"/>
          </w:cols>
          <w:pgMar w:left="320" w:top="229" w:right="339" w:bottom="582" w:gutter="0" w:footer="0" w:header="0"/>
        </w:sect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582" w:gutter="0" w:footer="0" w:header="0"/>
          <w:type w:val="continuous"/>
        </w:sectPr>
      </w:pPr>
    </w:p>
    <w:bookmarkStart w:id="27" w:name="page28"/>
    <w:bookmarkEnd w:id="27"/>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leverage this unique, premium assortment to serve the needs of Professional Chefs in settings such as restaurants, hotels, country clubs, national chain accounts, casinos, hospitals and catering houses. We provide these premium customers with products that cannot typically be found through their broadline distributor’s warehouse assortment. We distribute these products directly to Professional Chefs in Chicago through our subsidiary, Artisan Specialty Foods, Inc., and nationally through our e-commerce businesses on Amazon.com and our own website. We also drop ship specialty foods to Professional Chefs nationally through the websites of broadline distributors, such as U.S. Foods, Inc. Lastly, we sell these foods to large retailers for resale on their shelves to the end customer. Between this variety of sales channels, we are able to serve our Professional Chef customers wherever they are located.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our airline catering distribution business out of our owned 28,000 square foot facility in the greater Chicago area. Additionally, we operate a warehouse in Denver, Colorado, measuring approximately 20,000 square feet. In March 2026, we sold our facility in Mountain Top, Pennsylvania, which previously supported both our retail and airline catering operations. In connection with this sale, our airline catering operations have been relocated to the Chicago facility, and our retail business is being wound down.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facilities have the capabilities to pack and ship frozen, refrigerated, and ambient products, enabling us to offer a broad range of specialty foods. We maintain GFSI/SQF certifications, ensuring compatibility with the highest global standards for food handling and meeting the quality and food safety expectations of our premium customers. These warehouses are equipped to ship packages and pallets of all sizes via overnight carriers. We also utilize our own fleet of trucks to deliver directly to Professional Chef customers within our delivery footprint.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proprietary technology platform underpins our entire business, driving transparency and efficiency up and down the supply chain. Orders flow in real time, whether to our warehouses or to our vendor partners, to allow for fast handling and fulfillment. Our picking is enabled by efficient scan-based, handheld devices, ensuring order and inventory accuracy. Our warehouse management software optimizes pick routes for common items and order types, recommends a box size, and calculates the appropriate amount of packaging and ice required based on forecasted temperatures along the delivery route.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built a team consisting of passionate, committed, and food-obsessed people: our average tenure (outside of seasonal workers) across the Company is over five years. Our merchandising team has deep connections within the specialty food space around the globe. Our customer service and sales teams, as ex-chefs themselves, go beyond customer service to offer our Professional Chefs customer support, menu ideas, and preparation guidance.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discussion may contain forward-looking statements that involve risks and uncertainties. Our future results could differ materially from the forward-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looking statements discussed in this report. This discussion should be read in conjunction with our consolidated financial statements, the notes thereto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information included elsewhere in the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Financial highlights for the fiscal quarter ended March 31, 2026: we reported revenue of $12.2 million, a 19.0% decrease compared to $15.0 million in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March 31,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Breakdown:</w:t>
      </w:r>
    </w:p>
    <w:p>
      <w:pPr>
        <w:spacing w:after="0" w:line="225"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Channels: Largely comprised of our distributor relationships and supported by our drop-ship model generated $6.6 million, or 55% of total revenue, in the current period, compared to $7.8 million in the prior year period, a decrease of approximately 16%. This decrease was primarily driven by continued headwinds in our legacy drop-ship business, where increased competition in online marketplace channels has resulted in lower order volumes and pricing pressure.</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Distribution: Revenue was $2.5 million, 21% of total revenue, compared to $2.8 million in the prior year period. The decrease was primarily driven by stiffer competition and airline menu cycle changes.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Distribution: Consists mainly of local sales team relationships and our local fleet delivering direct from warehouse. This category generated $3.1 million, or 26% of total revenue, which is a 30% decrease from $4.4 million in 2025. This decrease was primarily driven by customer attrition following prior year operational transitions; however, these strategic customer attrition efforts have stabilized.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Cost of goods sold for the three months ended March 31, 2026 decreased by approximately 18% to $9.1 million compared to $11.1 million in the prior year period, which is primarily due to a 19% decrease in revenue. Gross margin remained flat at approximately 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 decreased by $888 thousand, or 24%, primarily due to the factors described below:</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related costs decreased by $426 thousand to $1.9 million. This decrease was primarily due to a reduction in headcount from organizational restructuring, largely at the executive level.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decreased by $276 thousand to $249 thousand primarily due to the discontinuation of strategic growth initiatives that did not yield desired results.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decreased by $153 thousand to $8 thousand, due to revaluation of stock options and other equity-based incentives offered to attract and retain key personnel.</w:t>
      </w:r>
    </w:p>
    <w:p>
      <w:pPr>
        <w:spacing w:after="0" w:line="161" w:lineRule="exact"/>
        <w:rPr>
          <w:rFonts w:ascii="Times New Roman" w:cs="Times New Roman" w:eastAsia="Times New Roman" w:hAnsi="Times New Roman"/>
          <w:sz w:val="18"/>
          <w:szCs w:val="18"/>
          <w:color w:val="auto"/>
        </w:rPr>
      </w:pPr>
    </w:p>
    <w:p>
      <w:pPr>
        <w:ind w:right="140" w:firstLine="332"/>
        <w:spacing w:after="0" w:line="500"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Depreciation and amortization expense decreased by $11 thousand to $60 thousand primarily due to the expiration of capitalized financial leases. </w:t>
      </w:r>
      <w:r>
        <w:rPr>
          <w:rFonts w:ascii="Times New Roman" w:cs="Times New Roman" w:eastAsia="Times New Roman" w:hAnsi="Times New Roman"/>
          <w:sz w:val="18"/>
          <w:szCs w:val="18"/>
          <w:u w:val="single" w:color="auto"/>
          <w:color w:val="auto"/>
        </w:rPr>
        <w:t>Discontinued Operations</w:t>
      </w:r>
    </w:p>
    <w:p>
      <w:pPr>
        <w:spacing w:after="0" w:line="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discontinued operations reported net income of $1.5 million in the current quarter, compared to a net loss of $684 thousand in the prior year primarily due to the $2.1 million gain on the sale of the Pennsylvania facility in 2026.</w:t>
      </w:r>
    </w:p>
    <w:p>
      <w:pPr>
        <w:sectPr>
          <w:pgSz w:w="11900" w:h="16900" w:orient="portrait"/>
          <w:cols w:equalWidth="0" w:num="1">
            <w:col w:w="11240"/>
          </w:cols>
          <w:pgMar w:left="320" w:top="229" w:right="339" w:bottom="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at March 31,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had current assets of $9.8 million and current liabilities of $3.3 million. Net working capital was $6.5 million.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we have sufficient liquidity to fund operations for at least the next twelve months. With the sale of the Pennsylvania facility, operating cash flows are expected to continue to improve as facility costs and lower margin product sales roll off. We do not anticipate the need to raise additional capital. We are working on a new credit facility to provide working capital flexibility. Remaining severance obligations are not expected to be material, and staffing levels are being managed to align with current business needs.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Analysis:</w:t>
      </w:r>
    </w:p>
    <w:p>
      <w:pPr>
        <w:spacing w:after="0" w:line="225" w:lineRule="exact"/>
        <w:rPr>
          <w:sz w:val="20"/>
          <w:szCs w:val="20"/>
          <w:color w:val="auto"/>
        </w:rPr>
      </w:pPr>
    </w:p>
    <w:p>
      <w:pPr>
        <w:jc w:val="both"/>
        <w:ind w:left="66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operating activities was $234 thousand, primarily due to net income of $1.8 million, a decrease in inventory of $345 thousand due to lowered cheese inventory balances associated with the wind down Pennsylvania of the facility, partially offset by the gain on disposition of assets of $2.7 million, a $609 thousand loss on the early extinguishment of debt, a decrease of $184 thousand primarily due to the collection of receivables related to discontinuing the cheese business, and a $564 thousand decrease in accounts payable and accrued liabilities primarily due to the sale of the Pennsylvania facility.</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investing activities was $8.8 million which was primarily due to cash received for the sale of the Pennsylvania land and building for $8.8 million, offset by the purchase of property and equipment for $31 thousand.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financing Activities was $8.8 million, due to the payments on debt and financing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Major Customers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U.S. Foods, Inc. and its affiliates accounted for approximately 40% and 41% of total revenue, respectively. Gate Gourmet accounted for approximately 15% and 19% of total revenue, respectively, during the three months ended March 31, 2026,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opinion of management, inflation has had a material effect on the Company’s financial condition and results of its operations. The Company has seen the impact of inflation across its costs for fuel, shipping, cost of goods, and marketing. Balancing the management of these increases with the willingness of our customers to pay higher prices will continue to be a key focus for the Company this year. However, no assurance can be given that we will be successful and inflationary pressure on our profits will likely continue through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business and success is subject to numerous risk factors as detailed in its Annual Report on Form 10-K for the year ended December 31, 2025 and its Current Reports on Form 8-K, all of which reports are available at no cost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of Disclosure Controls and Procedures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by us in the reports that we file or submit pursuant to the requirements of the Exchange Act is recorded, processed, summarized and reported, within the time periods specified in the SEC’s rules and forms. Disclosure controls and procedures include, among other things, controls and procedures designed to ensure that such information is accumulated and communicated to our management, including our principal executive and financial officer, to allow timely decisions regarding required disclosure.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and financial officer, we conducted an evaluation of the effectiveness of our disclosure controls and procedures, as defined in Rules 13a-15(e) and 15d-15(e) under the Exchange Act, as of the end of the period covered by this report. Based on this evaluation, and because of the material weaknesses in internal control over financial reporting described below, management concluded that the Company’s disclosure controls and procedures were not effective as of March 31, 2026.</w:t>
      </w:r>
    </w:p>
    <w:p>
      <w:pPr>
        <w:sectPr>
          <w:pgSz w:w="11900" w:h="16838" w:orient="portrait"/>
          <w:cols w:equalWidth="0" w:num="1">
            <w:col w:w="11240"/>
          </w:cols>
          <w:pgMar w:left="320" w:top="229" w:right="339" w:bottom="1041"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041"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Material Weaknesses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management’s evaluation of internal control over financial reporting, management identified material weaknesses related to information technology general controls over certain applications that support the Company’s financial reporting processes.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identified material weaknesses related to information technology general controls over certain applications that support the Company’s financial reporting processes. Specifically, management identified deficiencies associated with (a) effective user access controls to appropriately segregate duties and adequately restrict user and privileged access, (b) effective controls to monitor, document and approve application changes, and (c) effective controls related to monitoring of critical jobs. As a result of these deficiencies and certain account reconciliation and review controls that were not effectively designed in fully mitigating the related risks, automated process- level and manual controls within the financial reporting cycles that rely on information generated from such financially relevant systems were not considered effective.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identified material weaknesses, management, including our principal executive, financial and accounting officer, concluded the consolidated financial statements included in this report fairly represent in all material respects our results of operations, financial condition, and cash flows at and for the periods presented in accordance with U.S. GAAP.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disclosed in Part II, Item 9A of the Annual Report on Form 10-K for the year ended December 31, 2025, management concluded that the aforementioned material weaknesses in internal control existed for the Company. Management concluded that these material weaknesses still existed as of March 31,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Remediation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begun implementing measures designed to remediate the material weaknesses described above. These remediation efforts include:</w:t>
      </w:r>
    </w:p>
    <w:p>
      <w:pPr>
        <w:spacing w:after="0" w:line="225"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Formalizing information technology governance procedures related to user access administration, periodic access reviews, and application change management for systems supporting financial reporting;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documentation, approval, testing, and tracking procedures for application changes;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user roles and access permissions within relevant applications and implementing additional role-based access governance procedures, as appropriate;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documentation, retention, and review of system change logs and other relevant system activity logs;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documentation of existing monitoring controls related to system interfaces, application functionality, and data validation processes.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will continue to evaluate the design and operating effectiveness of these remediation efforts. The material weaknesses will not be considered remediated until the applicable controls have been fully implemented, tested, and determined to be operating effectively for a sufficient period of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Internal Control Over Financial Reporting</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than as discussed above, during the period covered by this report, there has been no change in our internal control over financial reporting that has materially affected, or is reasonably likely to materially affect, our internal control over financial reporting.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smaller reporting company under Rule 12b-2 of the Exchange Act, we are not required to include risk factors in report. However, for detailed descriptions of the risks relating to our Company, see the section titled “Risk Factors” contained in our Annual Report for the year ended December 31, 2025. Any of these factors could result in a significant or material adverse effect on our results of operations or financial condition. We may disclose changes to such risk factors or disclose additional risk factors from time to time in our future filings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Trading Arrangements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quarterly period ended March 31, 2026, none of our directors or officers (as defined in Rule 16a-1(f) promulgated under the Exchange Act) adopted or terminated any “Rule 10b5-1 trading arrangement” or any “non-Rule 10b5-1 trading arrangement,” as each term is defined in Item 408 of Regulation S-K.</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tcBorders>
              <w:bottom w:val="single" w:sz="8" w:color="0000EE"/>
            </w:tcBorders>
            <w:gridSpan w:val="14"/>
          </w:tcPr>
          <w:p>
            <w:pPr>
              <w:ind w:left="20"/>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Articles of Incorporation (incorporated by reference to Exhibit 3.1 of the Company’s Annual Report on Form 10-KSB for the year ended</w:t>
              </w:r>
            </w:hyperlink>
          </w:p>
        </w:tc>
      </w:tr>
      <w:tr>
        <w:trPr>
          <w:trHeight w:val="196"/>
        </w:trPr>
        <w:tc>
          <w:tcPr>
            <w:tcW w:w="1240" w:type="dxa"/>
            <w:vAlign w:val="bottom"/>
          </w:tcPr>
          <w:p>
            <w:pPr>
              <w:spacing w:after="0"/>
              <w:rPr>
                <w:sz w:val="17"/>
                <w:szCs w:val="17"/>
                <w:color w:val="auto"/>
              </w:rPr>
            </w:pPr>
          </w:p>
        </w:tc>
        <w:tc>
          <w:tcPr>
            <w:tcW w:w="7020" w:type="dxa"/>
            <w:vAlign w:val="bottom"/>
            <w:tcBorders>
              <w:bottom w:val="single" w:sz="8" w:color="0000EE"/>
            </w:tcBorders>
            <w:gridSpan w:val="11"/>
          </w:tcPr>
          <w:p>
            <w:pPr>
              <w:ind w:left="20"/>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December 31, 2004 filed with the Securities and Exchange Commission on September 28, 2005).</w:t>
              </w:r>
            </w:hyperlink>
          </w:p>
        </w:tc>
        <w:tc>
          <w:tcPr>
            <w:tcW w:w="2980" w:type="dxa"/>
            <w:vAlign w:val="bottom"/>
            <w:gridSpan w:val="3"/>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00" w:type="dxa"/>
            <w:vAlign w:val="bottom"/>
            <w:tcBorders>
              <w:bottom w:val="single" w:sz="8" w:color="0000EE"/>
            </w:tcBorders>
            <w:gridSpan w:val="14"/>
          </w:tcPr>
          <w:p>
            <w:pPr>
              <w:ind w:left="20"/>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Amended Bylaws of the Company (incorporated by reference to Exhibit 3.2 of the Company’s Annual Report on Form 10-K for the year</w:t>
              </w:r>
            </w:hyperlink>
          </w:p>
        </w:tc>
      </w:tr>
      <w:tr>
        <w:trPr>
          <w:trHeight w:val="196"/>
        </w:trPr>
        <w:tc>
          <w:tcPr>
            <w:tcW w:w="1240" w:type="dxa"/>
            <w:vAlign w:val="bottom"/>
          </w:tcPr>
          <w:p>
            <w:pPr>
              <w:spacing w:after="0"/>
              <w:rPr>
                <w:sz w:val="17"/>
                <w:szCs w:val="17"/>
                <w:color w:val="auto"/>
              </w:rPr>
            </w:pPr>
          </w:p>
        </w:tc>
        <w:tc>
          <w:tcPr>
            <w:tcW w:w="4800" w:type="dxa"/>
            <w:vAlign w:val="bottom"/>
            <w:tcBorders>
              <w:bottom w:val="single" w:sz="8" w:color="0000EE"/>
            </w:tcBorders>
            <w:gridSpan w:val="8"/>
          </w:tcPr>
          <w:p>
            <w:pPr>
              <w:ind w:left="20"/>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ended December 31, 2010 filed with the SEC on March 16, 2011).</w:t>
              </w:r>
            </w:hyperlink>
          </w:p>
        </w:tc>
        <w:tc>
          <w:tcPr>
            <w:tcW w:w="5200" w:type="dxa"/>
            <w:vAlign w:val="bottom"/>
            <w:gridSpan w:val="6"/>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000" w:type="dxa"/>
            <w:vAlign w:val="bottom"/>
            <w:tcBorders>
              <w:bottom w:val="single" w:sz="8" w:color="0000EE"/>
            </w:tcBorders>
            <w:gridSpan w:val="14"/>
          </w:tcPr>
          <w:p>
            <w:pPr>
              <w:ind w:left="20"/>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Amended Bylaws of the Company (incorporated by reference to Exhibit 3.1 of the Company’s Current Report Form 8-K filed with the</w:t>
              </w:r>
            </w:hyperlink>
          </w:p>
        </w:tc>
      </w:tr>
      <w:tr>
        <w:trPr>
          <w:trHeight w:val="196"/>
        </w:trPr>
        <w:tc>
          <w:tcPr>
            <w:tcW w:w="1240" w:type="dxa"/>
            <w:vAlign w:val="bottom"/>
          </w:tcPr>
          <w:p>
            <w:pPr>
              <w:spacing w:after="0"/>
              <w:rPr>
                <w:sz w:val="17"/>
                <w:szCs w:val="17"/>
                <w:color w:val="auto"/>
              </w:rPr>
            </w:pPr>
          </w:p>
        </w:tc>
        <w:tc>
          <w:tcPr>
            <w:tcW w:w="10000" w:type="dxa"/>
            <w:vAlign w:val="bottom"/>
            <w:gridSpan w:val="14"/>
          </w:tcPr>
          <w:p>
            <w:pPr>
              <w:ind w:left="20"/>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SEC on January 31, 2012).</w:t>
              </w:r>
            </w:hyperlink>
          </w:p>
        </w:tc>
      </w:tr>
      <w:tr>
        <w:trPr>
          <w:trHeight w:val="20"/>
        </w:trPr>
        <w:tc>
          <w:tcPr>
            <w:tcW w:w="12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0000" w:type="dxa"/>
            <w:vAlign w:val="bottom"/>
            <w:tcBorders>
              <w:bottom w:val="single" w:sz="8" w:color="0000EE"/>
            </w:tcBorders>
            <w:gridSpan w:val="14"/>
          </w:tcPr>
          <w:p>
            <w:pPr>
              <w:ind w:left="20"/>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Amended Bylaws of the Company (incorporated by reference to Exhibit 3.2 of the Company’s Current Report Form 8-K filed with the</w:t>
              </w:r>
            </w:hyperlink>
          </w:p>
        </w:tc>
      </w:tr>
      <w:tr>
        <w:trPr>
          <w:trHeight w:val="196"/>
        </w:trPr>
        <w:tc>
          <w:tcPr>
            <w:tcW w:w="1240" w:type="dxa"/>
            <w:vAlign w:val="bottom"/>
          </w:tcPr>
          <w:p>
            <w:pPr>
              <w:spacing w:after="0"/>
              <w:rPr>
                <w:sz w:val="17"/>
                <w:szCs w:val="17"/>
                <w:color w:val="auto"/>
              </w:rPr>
            </w:pPr>
          </w:p>
        </w:tc>
        <w:tc>
          <w:tcPr>
            <w:tcW w:w="10000" w:type="dxa"/>
            <w:vAlign w:val="bottom"/>
            <w:gridSpan w:val="14"/>
          </w:tcPr>
          <w:p>
            <w:pPr>
              <w:ind w:left="20"/>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SEC on January 23, 2018)</w:t>
              </w:r>
            </w:hyperlink>
          </w:p>
        </w:tc>
      </w:tr>
      <w:tr>
        <w:trPr>
          <w:trHeight w:val="20"/>
        </w:trPr>
        <w:tc>
          <w:tcPr>
            <w:tcW w:w="12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0000" w:type="dxa"/>
            <w:vAlign w:val="bottom"/>
            <w:tcBorders>
              <w:bottom w:val="single" w:sz="8" w:color="0000EE"/>
            </w:tcBorders>
            <w:gridSpan w:val="14"/>
          </w:tcPr>
          <w:p>
            <w:pPr>
              <w:ind w:left="20"/>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Amended Bylaws of the Company (incorporated by reference to Exhibit 3.1 of the Company’s Current Report Form 8-K filed with the</w:t>
              </w:r>
            </w:hyperlink>
          </w:p>
        </w:tc>
      </w:tr>
      <w:tr>
        <w:trPr>
          <w:trHeight w:val="196"/>
        </w:trPr>
        <w:tc>
          <w:tcPr>
            <w:tcW w:w="1240" w:type="dxa"/>
            <w:vAlign w:val="bottom"/>
          </w:tcPr>
          <w:p>
            <w:pPr>
              <w:spacing w:after="0"/>
              <w:rPr>
                <w:sz w:val="17"/>
                <w:szCs w:val="17"/>
                <w:color w:val="auto"/>
              </w:rPr>
            </w:pPr>
          </w:p>
        </w:tc>
        <w:tc>
          <w:tcPr>
            <w:tcW w:w="2120" w:type="dxa"/>
            <w:vAlign w:val="bottom"/>
            <w:tcBorders>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8"/>
              </w:rPr>
            </w:pPr>
            <w:hyperlink r:id="rId76">
              <w:r>
                <w:rPr>
                  <w:rFonts w:ascii="Times New Roman" w:cs="Times New Roman" w:eastAsia="Times New Roman" w:hAnsi="Times New Roman"/>
                  <w:sz w:val="18"/>
                  <w:szCs w:val="18"/>
                  <w:color w:val="0000EE"/>
                  <w:w w:val="98"/>
                </w:rPr>
                <w:t>SEC on September 14, 2021)</w:t>
              </w:r>
            </w:hyperlink>
          </w:p>
        </w:tc>
        <w:tc>
          <w:tcPr>
            <w:tcW w:w="7880" w:type="dxa"/>
            <w:vAlign w:val="bottom"/>
            <w:gridSpan w:val="7"/>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0000" w:type="dxa"/>
            <w:vAlign w:val="bottom"/>
            <w:tcBorders>
              <w:bottom w:val="single" w:sz="8" w:color="0000EE"/>
            </w:tcBorders>
            <w:gridSpan w:val="14"/>
          </w:tcPr>
          <w:p>
            <w:pPr>
              <w:ind w:left="20"/>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Amended Bylaws of the Company (incorporated by reference to Exhibit 3.1 of the Company’s Current Report on Form 8-K filed with the</w:t>
              </w:r>
            </w:hyperlink>
          </w:p>
        </w:tc>
      </w:tr>
      <w:tr>
        <w:trPr>
          <w:trHeight w:val="196"/>
        </w:trPr>
        <w:tc>
          <w:tcPr>
            <w:tcW w:w="1240" w:type="dxa"/>
            <w:vAlign w:val="bottom"/>
          </w:tcPr>
          <w:p>
            <w:pPr>
              <w:spacing w:after="0"/>
              <w:rPr>
                <w:sz w:val="17"/>
                <w:szCs w:val="17"/>
                <w:color w:val="auto"/>
              </w:rPr>
            </w:pPr>
          </w:p>
        </w:tc>
        <w:tc>
          <w:tcPr>
            <w:tcW w:w="190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SEC on March 13, 2023).</w:t>
              </w:r>
            </w:hyperlink>
          </w:p>
        </w:tc>
        <w:tc>
          <w:tcPr>
            <w:tcW w:w="8100" w:type="dxa"/>
            <w:vAlign w:val="bottom"/>
            <w:gridSpan w:val="9"/>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0000" w:type="dxa"/>
            <w:vAlign w:val="bottom"/>
            <w:tcBorders>
              <w:bottom w:val="single" w:sz="8" w:color="0000EE"/>
            </w:tcBorders>
            <w:gridSpan w:val="14"/>
          </w:tcPr>
          <w:p>
            <w:pPr>
              <w:ind w:left="20"/>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Amended Bylaws of the Company (incorporated by reference to Exhibit 3.1 of the Company’s Current Report Form 8-K filed with the</w:t>
              </w:r>
            </w:hyperlink>
          </w:p>
        </w:tc>
      </w:tr>
      <w:tr>
        <w:trPr>
          <w:trHeight w:val="196"/>
        </w:trPr>
        <w:tc>
          <w:tcPr>
            <w:tcW w:w="1240" w:type="dxa"/>
            <w:vAlign w:val="bottom"/>
          </w:tcPr>
          <w:p>
            <w:pPr>
              <w:spacing w:after="0"/>
              <w:rPr>
                <w:sz w:val="17"/>
                <w:szCs w:val="17"/>
                <w:color w:val="auto"/>
              </w:rPr>
            </w:pPr>
          </w:p>
        </w:tc>
        <w:tc>
          <w:tcPr>
            <w:tcW w:w="1680" w:type="dxa"/>
            <w:vAlign w:val="bottom"/>
            <w:tcBorders>
              <w:bottom w:val="single" w:sz="8" w:color="0000EE"/>
            </w:tcBorders>
            <w:gridSpan w:val="2"/>
          </w:tcPr>
          <w:p>
            <w:pPr>
              <w:ind w:left="20"/>
              <w:spacing w:after="0" w:line="196" w:lineRule="exact"/>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SEC on May 23, 2023)</w:t>
              </w:r>
            </w:hyperlink>
          </w:p>
        </w:tc>
        <w:tc>
          <w:tcPr>
            <w:tcW w:w="8320" w:type="dxa"/>
            <w:vAlign w:val="bottom"/>
            <w:gridSpan w:val="12"/>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00" w:type="dxa"/>
            <w:vAlign w:val="bottom"/>
            <w:gridSpan w:val="14"/>
          </w:tcPr>
          <w:p>
            <w:pPr>
              <w:ind w:left="20"/>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Agreement of Purchase and Sale, dated July 28, 2025, by and between Innovative Food Properties LLC and Mountaintop Holdings, LLC</w:t>
              </w:r>
            </w:hyperlink>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13"/>
          </w:tcPr>
          <w:p>
            <w:pPr>
              <w:ind w:left="20"/>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(incorporated by reference to Exhibit 10.1 of the Company’s Current Report on Form 8-K filed with the SEC on August 1, 2025)</w:t>
              </w:r>
            </w:hyperlink>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00" w:type="dxa"/>
            <w:vAlign w:val="bottom"/>
            <w:tcBorders>
              <w:bottom w:val="single" w:sz="8" w:color="0000EE"/>
            </w:tcBorders>
            <w:gridSpan w:val="14"/>
          </w:tcPr>
          <w:p>
            <w:pPr>
              <w:ind w:left="20"/>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First Amendment to Agreement of Purchase and Sale, dated September 11, 2025, by and between Innovative Food Properties LLC and</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Mountaintop Holdings, LLC (incorporated by reference to Exhibit 10.1 of the Company’s Current Report on Form 8-K filed with the SEC</w:t>
              </w:r>
            </w:hyperlink>
          </w:p>
        </w:tc>
      </w:tr>
      <w:tr>
        <w:trPr>
          <w:trHeight w:val="196"/>
        </w:trPr>
        <w:tc>
          <w:tcPr>
            <w:tcW w:w="1240" w:type="dxa"/>
            <w:vAlign w:val="bottom"/>
          </w:tcPr>
          <w:p>
            <w:pPr>
              <w:spacing w:after="0"/>
              <w:rPr>
                <w:sz w:val="17"/>
                <w:szCs w:val="17"/>
                <w:color w:val="auto"/>
              </w:rPr>
            </w:pPr>
          </w:p>
        </w:tc>
        <w:tc>
          <w:tcPr>
            <w:tcW w:w="1740" w:type="dxa"/>
            <w:vAlign w:val="bottom"/>
            <w:tcBorders>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8"/>
              </w:rPr>
            </w:pPr>
            <w:hyperlink r:id="rId80">
              <w:r>
                <w:rPr>
                  <w:rFonts w:ascii="Times New Roman" w:cs="Times New Roman" w:eastAsia="Times New Roman" w:hAnsi="Times New Roman"/>
                  <w:sz w:val="18"/>
                  <w:szCs w:val="18"/>
                  <w:color w:val="0000EE"/>
                  <w:w w:val="98"/>
                </w:rPr>
                <w:t>on September 16, 2025)</w:t>
              </w:r>
            </w:hyperlink>
          </w:p>
        </w:tc>
        <w:tc>
          <w:tcPr>
            <w:tcW w:w="8260" w:type="dxa"/>
            <w:vAlign w:val="bottom"/>
            <w:gridSpan w:val="10"/>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00" w:type="dxa"/>
            <w:vAlign w:val="bottom"/>
            <w:gridSpan w:val="14"/>
          </w:tcPr>
          <w:p>
            <w:pPr>
              <w:ind w:left="20"/>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Second Amendment to Agreement of Purchase and Sale, dated September 29, 2025, by and between Innovative Food Properties LLC and</w:t>
              </w:r>
            </w:hyperlink>
          </w:p>
        </w:tc>
      </w:tr>
      <w:tr>
        <w:trPr>
          <w:trHeight w:val="20"/>
        </w:trPr>
        <w:tc>
          <w:tcPr>
            <w:tcW w:w="12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Mountaintop Holdings, LLC (incorporated by reference to Exhibit 10.1 of the Company’s Current Report on Form 8-K filed with the SEC</w:t>
              </w:r>
            </w:hyperlink>
          </w:p>
        </w:tc>
      </w:tr>
      <w:tr>
        <w:trPr>
          <w:trHeight w:val="196"/>
        </w:trPr>
        <w:tc>
          <w:tcPr>
            <w:tcW w:w="1240" w:type="dxa"/>
            <w:vAlign w:val="bottom"/>
          </w:tcPr>
          <w:p>
            <w:pPr>
              <w:spacing w:after="0"/>
              <w:rPr>
                <w:sz w:val="17"/>
                <w:szCs w:val="17"/>
                <w:color w:val="auto"/>
              </w:rPr>
            </w:pPr>
          </w:p>
        </w:tc>
        <w:tc>
          <w:tcPr>
            <w:tcW w:w="146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7"/>
              </w:rPr>
            </w:pPr>
            <w:hyperlink r:id="rId81">
              <w:r>
                <w:rPr>
                  <w:rFonts w:ascii="Times New Roman" w:cs="Times New Roman" w:eastAsia="Times New Roman" w:hAnsi="Times New Roman"/>
                  <w:sz w:val="18"/>
                  <w:szCs w:val="18"/>
                  <w:color w:val="0000EE"/>
                  <w:w w:val="97"/>
                </w:rPr>
                <w:t>on October 3, 2025)</w:t>
              </w:r>
            </w:hyperlink>
          </w:p>
        </w:tc>
        <w:tc>
          <w:tcPr>
            <w:tcW w:w="8540" w:type="dxa"/>
            <w:vAlign w:val="bottom"/>
            <w:gridSpan w:val="13"/>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tcBorders>
              <w:bottom w:val="single" w:sz="8" w:color="0000EE"/>
            </w:tcBorders>
            <w:gridSpan w:val="14"/>
          </w:tcPr>
          <w:p>
            <w:pPr>
              <w:ind w:left="20"/>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Third Amendment to Agreement of Purchase and Sale, dated November 13, 2025, by and between Innovative Food Properties LLC and</w:t>
              </w:r>
            </w:hyperlink>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Mountaintop Holdings, LLC (incorporated by reference to Exhibit 10.1 of the Company’s Current Report on Form 8-K filed with the SEC</w:t>
              </w:r>
            </w:hyperlink>
          </w:p>
        </w:tc>
      </w:tr>
      <w:tr>
        <w:trPr>
          <w:trHeight w:val="196"/>
        </w:trPr>
        <w:tc>
          <w:tcPr>
            <w:tcW w:w="1240" w:type="dxa"/>
            <w:vAlign w:val="bottom"/>
          </w:tcPr>
          <w:p>
            <w:pPr>
              <w:spacing w:after="0"/>
              <w:rPr>
                <w:sz w:val="17"/>
                <w:szCs w:val="17"/>
                <w:color w:val="auto"/>
              </w:rPr>
            </w:pPr>
          </w:p>
        </w:tc>
        <w:tc>
          <w:tcPr>
            <w:tcW w:w="10000" w:type="dxa"/>
            <w:vAlign w:val="bottom"/>
            <w:gridSpan w:val="14"/>
          </w:tcPr>
          <w:p>
            <w:pPr>
              <w:ind w:left="20"/>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on November 14, 2025)</w:t>
              </w:r>
            </w:hyperlink>
          </w:p>
        </w:tc>
      </w:tr>
      <w:tr>
        <w:trPr>
          <w:trHeight w:val="20"/>
        </w:trPr>
        <w:tc>
          <w:tcPr>
            <w:tcW w:w="124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00" w:type="dxa"/>
            <w:vAlign w:val="bottom"/>
            <w:tcBorders>
              <w:bottom w:val="single" w:sz="8" w:color="0000EE"/>
            </w:tcBorders>
            <w:gridSpan w:val="14"/>
          </w:tcPr>
          <w:p>
            <w:pPr>
              <w:ind w:left="20"/>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Employment Agreement, dated January 6, 2026, by and between the Company and Argie Liarakos (incorporated by reference to Exhibit</w:t>
              </w:r>
            </w:hyperlink>
          </w:p>
        </w:tc>
      </w:tr>
      <w:tr>
        <w:trPr>
          <w:trHeight w:val="196"/>
        </w:trPr>
        <w:tc>
          <w:tcPr>
            <w:tcW w:w="1240" w:type="dxa"/>
            <w:vAlign w:val="bottom"/>
          </w:tcPr>
          <w:p>
            <w:pPr>
              <w:spacing w:after="0"/>
              <w:rPr>
                <w:sz w:val="17"/>
                <w:szCs w:val="17"/>
                <w:color w:val="auto"/>
              </w:rPr>
            </w:pPr>
          </w:p>
        </w:tc>
        <w:tc>
          <w:tcPr>
            <w:tcW w:w="6620" w:type="dxa"/>
            <w:vAlign w:val="bottom"/>
            <w:tcBorders>
              <w:bottom w:val="single" w:sz="8" w:color="0000EE"/>
            </w:tcBorders>
            <w:gridSpan w:val="10"/>
          </w:tcPr>
          <w:p>
            <w:pPr>
              <w:ind w:left="20"/>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of the Company’s Current Report on Form 8-K filed with the SEC on January 7, 2026)</w:t>
              </w:r>
            </w:hyperlink>
          </w:p>
        </w:tc>
        <w:tc>
          <w:tcPr>
            <w:tcW w:w="3380" w:type="dxa"/>
            <w:vAlign w:val="bottom"/>
            <w:gridSpan w:val="4"/>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tcBorders>
              <w:bottom w:val="single" w:sz="8" w:color="0000EE"/>
            </w:tcBorders>
            <w:gridSpan w:val="14"/>
          </w:tcPr>
          <w:p>
            <w:pPr>
              <w:ind w:left="20"/>
              <w:spacing w:after="0"/>
              <w:rPr>
                <w:sz w:val="20"/>
                <w:szCs w:val="20"/>
                <w:color w:val="auto"/>
              </w:rPr>
            </w:pPr>
            <w:r>
              <w:rPr>
                <w:rFonts w:ascii="Times New Roman" w:cs="Times New Roman" w:eastAsia="Times New Roman" w:hAnsi="Times New Roman"/>
                <w:sz w:val="18"/>
                <w:szCs w:val="18"/>
                <w:color w:val="0000EE"/>
                <w:w w:val="99"/>
              </w:rPr>
              <w:t>Certification of the Principal Executive Officer pursuant to Rule 13a-14(a) and Rule 15d-14(a) under the Securities Exchange Act of 1934,</w:t>
            </w:r>
          </w:p>
        </w:tc>
      </w:tr>
      <w:tr>
        <w:trPr>
          <w:trHeight w:val="196"/>
        </w:trPr>
        <w:tc>
          <w:tcPr>
            <w:tcW w:w="1240" w:type="dxa"/>
            <w:vAlign w:val="bottom"/>
          </w:tcPr>
          <w:p>
            <w:pPr>
              <w:spacing w:after="0"/>
              <w:rPr>
                <w:sz w:val="17"/>
                <w:szCs w:val="17"/>
                <w:color w:val="auto"/>
              </w:rPr>
            </w:pPr>
          </w:p>
        </w:tc>
        <w:tc>
          <w:tcPr>
            <w:tcW w:w="10000" w:type="dxa"/>
            <w:vAlign w:val="bottom"/>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r>
      <w:tr>
        <w:trPr>
          <w:trHeight w:val="20"/>
        </w:trPr>
        <w:tc>
          <w:tcPr>
            <w:tcW w:w="124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tcBorders>
              <w:bottom w:val="single" w:sz="8" w:color="0000EE"/>
            </w:tcBorders>
            <w:gridSpan w:val="14"/>
          </w:tcPr>
          <w:p>
            <w:pPr>
              <w:ind w:left="20"/>
              <w:spacing w:after="0"/>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13a-14(a) and Rule 15d-14(a) under the Securities Exchange Act of 1934,</w:t>
            </w:r>
          </w:p>
        </w:tc>
      </w:tr>
      <w:tr>
        <w:trPr>
          <w:trHeight w:val="196"/>
        </w:trPr>
        <w:tc>
          <w:tcPr>
            <w:tcW w:w="1240" w:type="dxa"/>
            <w:vAlign w:val="bottom"/>
          </w:tcPr>
          <w:p>
            <w:pPr>
              <w:spacing w:after="0"/>
              <w:rPr>
                <w:sz w:val="17"/>
                <w:szCs w:val="17"/>
                <w:color w:val="auto"/>
              </w:rPr>
            </w:pPr>
          </w:p>
        </w:tc>
        <w:tc>
          <w:tcPr>
            <w:tcW w:w="10000" w:type="dxa"/>
            <w:vAlign w:val="bottom"/>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r>
      <w:tr>
        <w:trPr>
          <w:trHeight w:val="20"/>
        </w:trPr>
        <w:tc>
          <w:tcPr>
            <w:tcW w:w="124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tcBorders>
              <w:bottom w:val="single" w:sz="8" w:color="0000EE"/>
            </w:tcBorders>
            <w:gridSpan w:val="14"/>
          </w:tcPr>
          <w:p>
            <w:pPr>
              <w:ind w:left="20"/>
              <w:spacing w:after="0"/>
              <w:rPr>
                <w:sz w:val="20"/>
                <w:szCs w:val="20"/>
                <w:color w:val="auto"/>
              </w:rPr>
            </w:pPr>
            <w:r>
              <w:rPr>
                <w:rFonts w:ascii="Times New Roman" w:cs="Times New Roman" w:eastAsia="Times New Roman" w:hAnsi="Times New Roman"/>
                <w:sz w:val="18"/>
                <w:szCs w:val="18"/>
                <w:color w:val="0000EE"/>
              </w:rPr>
              <w:t>Certification of the Principal Executive and Financial Officer pursuant to 18 U.S.C. 1350, as adopted pursuant to Section 906 of the</w:t>
            </w:r>
          </w:p>
        </w:tc>
      </w:tr>
      <w:tr>
        <w:trPr>
          <w:trHeight w:val="196"/>
        </w:trPr>
        <w:tc>
          <w:tcPr>
            <w:tcW w:w="1240" w:type="dxa"/>
            <w:vAlign w:val="bottom"/>
          </w:tcPr>
          <w:p>
            <w:pPr>
              <w:spacing w:after="0"/>
              <w:rPr>
                <w:sz w:val="17"/>
                <w:szCs w:val="17"/>
                <w:color w:val="auto"/>
              </w:rPr>
            </w:pPr>
          </w:p>
        </w:tc>
        <w:tc>
          <w:tcPr>
            <w:tcW w:w="10000" w:type="dxa"/>
            <w:vAlign w:val="bottom"/>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124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7900" w:type="dxa"/>
            <w:vAlign w:val="bottom"/>
            <w:gridSpan w:val="8"/>
          </w:tcPr>
          <w:p>
            <w:pPr>
              <w:spacing w:after="0" w:line="20" w:lineRule="exact"/>
              <w:rPr>
                <w:sz w:val="1"/>
                <w:szCs w:val="1"/>
                <w:color w:val="auto"/>
              </w:rPr>
            </w:pPr>
          </w:p>
        </w:tc>
      </w:tr>
      <w:tr>
        <w:trPr>
          <w:trHeight w:val="45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ectPr>
          <w:pgSz w:w="11900" w:h="16838" w:orient="portrait"/>
          <w:cols w:equalWidth="0" w:num="1">
            <w:col w:w="11240"/>
          </w:cols>
          <w:pgMar w:left="320" w:top="229" w:right="339" w:bottom="393"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393"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May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Gary Schubert</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 and Principal Financial</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RULE 13a-14(a) AND RULE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Schubert,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Innovative Food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Gary Schubert</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RULE 13a-14(a) AND RULE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Schubert,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Innovative Food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Gary Schubert</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AND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 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Innovative Food Holdings, Inc. (the “Company”) on Form 10-Q for the period ended March 31, 2026 as filed with the Securities and Exchange Commission on the date hereof (the “Report”), I, Gary Schubert, Chief Executive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Gary Schubert</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 and Principal Financial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May 20, 2026</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72" Type="http://schemas.openxmlformats.org/officeDocument/2006/relationships/hyperlink" Target="https://www.sec.gov/Archives/edgar/data/312257/000114420405030172/v025859_ex3-1.htm" TargetMode="External"/><Relationship Id="rId73" Type="http://schemas.openxmlformats.org/officeDocument/2006/relationships/hyperlink" Target="https://www.sec.gov/Archives/edgar/data/312257/000118518511000325/ex3-2.htm" TargetMode="External"/><Relationship Id="rId74" Type="http://schemas.openxmlformats.org/officeDocument/2006/relationships/hyperlink" Target="https://www.sec.gov/Archives/edgar/data/312257/000118518512000163/ex3-1.htm" TargetMode="External"/><Relationship Id="rId75" Type="http://schemas.openxmlformats.org/officeDocument/2006/relationships/hyperlink" Target="https://www.sec.gov/Archives/edgar/data/312257/000118518518000100/ex3-ii.htm" TargetMode="External"/><Relationship Id="rId76" Type="http://schemas.openxmlformats.org/officeDocument/2006/relationships/hyperlink" Target="https://www.sec.gov/Archives/edgar/data/312257/000118518521001291/ex_283633.htm" TargetMode="External"/><Relationship Id="rId77" Type="http://schemas.openxmlformats.org/officeDocument/2006/relationships/hyperlink" Target="https://www.sec.gov/Archives/edgar/data/312257/000118518523000204/ex_488087.htm" TargetMode="External"/><Relationship Id="rId78" Type="http://schemas.openxmlformats.org/officeDocument/2006/relationships/hyperlink" Target="https://www.sec.gov/Archives/edgar/data/312257/000118518523000574/ex_524877.htm" TargetMode="External"/><Relationship Id="rId79" Type="http://schemas.openxmlformats.org/officeDocument/2006/relationships/hyperlink" Target="https://www.sec.gov/Archives/edgar/data/312257/000118518525000883/ivfhex10-1.htm" TargetMode="External"/><Relationship Id="rId80" Type="http://schemas.openxmlformats.org/officeDocument/2006/relationships/hyperlink" Target="https://www.sec.gov/Archives/edgar/data/312257/000118518525001214/ivfhex10-1.htm" TargetMode="External"/><Relationship Id="rId81" Type="http://schemas.openxmlformats.org/officeDocument/2006/relationships/hyperlink" Target="https://www.sec.gov/Archives/edgar/data/312257/000118518525001378/ivfhex10-1.htm" TargetMode="External"/><Relationship Id="rId82" Type="http://schemas.openxmlformats.org/officeDocument/2006/relationships/hyperlink" Target="https://www.sec.gov/Archives/edgar/data/312257/000118518525001725/ivfhex10-1.htm" TargetMode="External"/><Relationship Id="rId83" Type="http://schemas.openxmlformats.org/officeDocument/2006/relationships/hyperlink" Target="https://www.sec.gov/Archives/edgar/data/312257/000118518526000059/ivfh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2026-05-20T15:16:59Z</dcterms:created>
  <dcterms:modified xsi:type="dcterms:W3CDTF">2026-05-20T15:16:59Z</dcterms:modified>
</cp:coreProperties>
</file>