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left="4900" w:right="1300" w:hanging="3583"/>
        <w:spacing w:after="0" w:line="282" w:lineRule="auto"/>
        <w:tabs>
          <w:tab w:leader="none" w:pos="152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b w:val="1"/>
          <w:bCs w:val="1"/>
          <w:u w:val="single" w:color="auto"/>
          <w:color w:val="auto"/>
        </w:rPr>
        <w:t>December 31, 2020</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140" w:hanging="1910"/>
        <w:spacing w:after="0" w:line="487" w:lineRule="auto"/>
        <w:tabs>
          <w:tab w:leader="none" w:pos="236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8"/>
          <w:szCs w:val="18"/>
          <w:b w:val="1"/>
          <w:bCs w:val="1"/>
          <w:u w:val="single" w:color="auto"/>
          <w:color w:val="auto"/>
        </w:rPr>
        <w:t>0-9376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6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rPr>
              <w:t>FLORIDA</w:t>
            </w:r>
          </w:p>
        </w:tc>
        <w:tc>
          <w:tcPr>
            <w:tcW w:w="368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6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gridSpan w:val="3"/>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28411 Race Track Rd.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Bonita Springs, Florida 34135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178" w:lineRule="exact"/>
        <w:rPr>
          <w:sz w:val="24"/>
          <w:szCs w:val="24"/>
          <w:color w:val="auto"/>
        </w:rPr>
      </w:pPr>
    </w:p>
    <w:p>
      <w:pPr>
        <w:ind w:right="166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4" w:right="339" w:bottom="1440" w:gutter="0" w:footer="0" w:header="0"/>
        </w:sectPr>
      </w:pP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07" w:lineRule="exact"/>
        <w:tabs>
          <w:tab w:leader="none" w:pos="140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spacing w:after="0" w:line="207" w:lineRule="exact"/>
        <w:tabs>
          <w:tab w:leader="none" w:pos="212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1620" w:space="140"/>
            <w:col w:w="3220" w:space="720"/>
            <w:col w:w="5540"/>
          </w:cols>
          <w:pgMar w:left="320" w:top="584" w:right="339" w:bottom="1440" w:gutter="0" w:footer="0" w:header="0"/>
          <w:type w:val="continuous"/>
        </w:sectPr>
      </w:pPr>
    </w:p>
    <w:p>
      <w:pPr>
        <w:spacing w:after="0" w:line="3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196" w:lineRule="exact"/>
        <w:tabs>
          <w:tab w:leader="none" w:pos="882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stock held by non-affiliates was approximately $10,243,980 as of June 30, 2020, based upon a closing price of $0.35 per share for the registrant’s common stock on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15, 2021, a total of 35,371,480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20" w:type="dxa"/>
            <w:vAlign w:val="bottom"/>
            <w:gridSpan w:val="7"/>
          </w:tcPr>
          <w:p>
            <w:pPr>
              <w:jc w:val="center"/>
              <w:ind w:right="2740"/>
              <w:spacing w:after="0"/>
              <w:rPr>
                <w:sz w:val="20"/>
                <w:szCs w:val="20"/>
                <w:color w:val="auto"/>
              </w:rPr>
            </w:pPr>
            <w:r>
              <w:rPr>
                <w:rFonts w:ascii="Arial" w:cs="Arial" w:eastAsia="Arial" w:hAnsi="Arial"/>
                <w:sz w:val="18"/>
                <w:szCs w:val="18"/>
                <w:b w:val="1"/>
                <w:bCs w:val="1"/>
                <w:color w:val="auto"/>
              </w:rPr>
              <w:t>INNOVATIVE FOOD HOLDINGS, INC.</w:t>
            </w:r>
          </w:p>
        </w:tc>
        <w:tc>
          <w:tcPr>
            <w:tcW w:w="98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INDEX TO ANNUAL REPORT ON FORM 10-K</w:t>
            </w:r>
          </w:p>
        </w:tc>
        <w:tc>
          <w:tcPr>
            <w:tcW w:w="98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8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8460" w:type="dxa"/>
            <w:vAlign w:val="bottom"/>
            <w:gridSpan w:val="1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18"/>
          </w:tcPr>
          <w:p>
            <w:pPr>
              <w:spacing w:after="0"/>
              <w:rPr>
                <w:sz w:val="20"/>
                <w:szCs w:val="20"/>
                <w:color w:val="auto"/>
              </w:rPr>
            </w:pPr>
            <w:r>
              <w:rPr>
                <w:rFonts w:ascii="Arial" w:cs="Arial" w:eastAsia="Arial" w:hAnsi="Arial"/>
                <w:sz w:val="18"/>
                <w:szCs w:val="18"/>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0"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8640" w:type="dxa"/>
            <w:vAlign w:val="bottom"/>
            <w:gridSpan w:val="16"/>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18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804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38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8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Registrant’s Common Equity, Related Stockholder Matters and Issuer Purchases of Equity Securities</w:t>
              </w:r>
            </w:hyperlink>
          </w:p>
        </w:tc>
        <w:tc>
          <w:tcPr>
            <w:tcW w:w="1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766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38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920" w:type="dxa"/>
            <w:vAlign w:val="bottom"/>
            <w:gridSpan w:val="4"/>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Item 8.</w:t>
            </w:r>
          </w:p>
        </w:tc>
        <w:tc>
          <w:tcPr>
            <w:tcW w:w="9380" w:type="dxa"/>
            <w:vAlign w:val="bottom"/>
            <w:gridSpan w:val="18"/>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Financial Statements</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Changes in and Disagreements With Accountants on Accounting and Financial Disclosure</w:t>
              </w:r>
            </w:hyperlink>
          </w:p>
        </w:tc>
        <w:tc>
          <w:tcPr>
            <w:tcW w:w="2860" w:type="dxa"/>
            <w:vAlign w:val="bottom"/>
            <w:gridSpan w:val="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Controls and Procedures</w:t>
              </w:r>
            </w:hyperlink>
          </w:p>
        </w:tc>
        <w:tc>
          <w:tcPr>
            <w:tcW w:w="7600" w:type="dxa"/>
            <w:vAlign w:val="bottom"/>
            <w:gridSpan w:val="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38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8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Directors, Executive Officers and Corporate Governance</w:t>
              </w:r>
            </w:hyperlink>
          </w:p>
        </w:tc>
        <w:tc>
          <w:tcPr>
            <w:tcW w:w="528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380" w:type="dxa"/>
            <w:vAlign w:val="bottom"/>
            <w:gridSpan w:val="1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Security Ownership of Certain Beneficial Owners and Management and Related Stockholder Matters</w:t>
              </w:r>
            </w:hyperlink>
          </w:p>
        </w:tc>
        <w:tc>
          <w:tcPr>
            <w:tcW w:w="208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Certain Relationships and Related Transactions, and Director Independence</w:t>
              </w:r>
            </w:hyperlink>
          </w:p>
        </w:tc>
        <w:tc>
          <w:tcPr>
            <w:tcW w:w="3920" w:type="dxa"/>
            <w:vAlign w:val="bottom"/>
            <w:gridSpan w:val="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380" w:type="dxa"/>
            <w:vAlign w:val="bottom"/>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28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380" w:type="dxa"/>
            <w:vAlign w:val="bottom"/>
            <w:gridSpan w:val="1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2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9380" w:type="dxa"/>
            <w:vAlign w:val="bottom"/>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95"/>
        </w:trPr>
        <w:tc>
          <w:tcPr>
            <w:tcW w:w="8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ind w:firstLine="702"/>
        <w:spacing w:after="0" w:line="288" w:lineRule="auto"/>
        <w:rPr>
          <w:sz w:val="20"/>
          <w:szCs w:val="20"/>
          <w:color w:val="auto"/>
        </w:rPr>
      </w:pPr>
      <w:r>
        <w:rPr>
          <w:rFonts w:ascii="Arial" w:cs="Arial" w:eastAsia="Arial" w:hAnsi="Arial"/>
          <w:sz w:val="16"/>
          <w:szCs w:val="16"/>
          <w:color w:val="auto"/>
        </w:rPr>
        <w:t>As of the date of filing of this Annual Report on Form 10-K (this “Report”), there are many uncertainties regarding the current Novel Coronavirus (“COVID-19”) pandemic, including the scope of scientific and health issues, the anticipated duration of the pandemic, and the extent of local and worldwide social, political, and economic disruption it may cause. To date, the COVID-19 pandemic has had far-reaching impacts on many aspects of the operations of Innovative Food Holdings, Inc. (the “Company”, “we,” “our” or “us”), directly and indirectly, including on consumer behavior, customer store traffic, production capabilities, timing of product availability, our people, and the market generally. The scope and nature of these impacts continue to evolve each day. The COVID-19 pandemic has resulted in, and may continue to result in, regional quarantines, labor stoppages and shortages, changes in consumer purchasing patterns, mandatory or elective shut-downs of restaurants, retail locations and other public gatherings, disruptions to supply chains, including the inability of our suppliers and service providers to deliver materials and services on a timely basis, or at all, severe market volatility, liquidity disruptions, and overall economic instability, which, in many cases, have had, and we expect will continue to have, adverse impacts on our business, financial condition and results of operations. This situation is changing rapidly, and additional impacts may arise that we are not aware of currently.</w:t>
      </w:r>
    </w:p>
    <w:p>
      <w:pPr>
        <w:spacing w:after="0" w:line="168" w:lineRule="exact"/>
        <w:rPr>
          <w:sz w:val="20"/>
          <w:szCs w:val="20"/>
          <w:color w:val="auto"/>
        </w:rPr>
      </w:pPr>
    </w:p>
    <w:p>
      <w:pPr>
        <w:jc w:val="both"/>
        <w:ind w:firstLine="702"/>
        <w:spacing w:after="0" w:line="277" w:lineRule="auto"/>
        <w:rPr>
          <w:sz w:val="20"/>
          <w:szCs w:val="20"/>
          <w:color w:val="auto"/>
        </w:rPr>
      </w:pPr>
      <w:r>
        <w:rPr>
          <w:rFonts w:ascii="Arial" w:cs="Arial" w:eastAsia="Arial" w:hAnsi="Arial"/>
          <w:sz w:val="18"/>
          <w:szCs w:val="18"/>
          <w:color w:val="auto"/>
        </w:rPr>
        <w:t>In light of the uncertain and rapidly evolving situation relating to the COVID-19 pandemic, we have taken certain precautionary measures intended to help minimize the risk to our Company, employees, and customers, including the following:</w:t>
      </w:r>
    </w:p>
    <w:p>
      <w:pPr>
        <w:spacing w:after="0" w:line="170"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safety precautions that we implemented in our warehouses and offices From March 2020, and into 2021;</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our warehouse currently continues to operate, we continue to evaluate their operations, and may elect, or be required, to shut down their operations temporarily at any time in the future;</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suspended all non-essential travel for our employees;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discouraging employee attendance at industry events and in-person work-related meetings.</w:t>
      </w:r>
    </w:p>
    <w:p>
      <w:pPr>
        <w:spacing w:after="0" w:line="211" w:lineRule="exact"/>
        <w:rPr>
          <w:sz w:val="20"/>
          <w:szCs w:val="20"/>
          <w:color w:val="auto"/>
        </w:rPr>
      </w:pPr>
    </w:p>
    <w:p>
      <w:pPr>
        <w:jc w:val="both"/>
        <w:ind w:firstLine="702"/>
        <w:spacing w:after="0" w:line="271" w:lineRule="auto"/>
        <w:rPr>
          <w:sz w:val="20"/>
          <w:szCs w:val="20"/>
          <w:color w:val="auto"/>
        </w:rPr>
      </w:pPr>
      <w:r>
        <w:rPr>
          <w:rFonts w:ascii="Arial" w:cs="Arial" w:eastAsia="Arial" w:hAnsi="Arial"/>
          <w:sz w:val="17"/>
          <w:szCs w:val="17"/>
          <w:color w:val="auto"/>
        </w:rPr>
        <w:t>Each of the remedial measures taken by the Company has had, and we expect will continue to have, adverse impacts on our current business, financial condition and results of operations, and may create additional risks for our Company. While we anticipate that the foregoing measures are temporary, we cannot predict the specific duration for which these precautionary measures will stay in effect, and we may elect or need to take additional measures as the information available to us continues to develop, including with respect to our employees, inventory receipts, and relationships with our licensors. We expect to continue to assess the evolving impact of the COVID-19 pandemic on our customers, consumers, employees, supply chain, and operations, and intend to make adjustments to our responses accordingly. However, the extent to which the COVID-19 pandemic and our precautionary measures in response thereto may impact our business, financial condition, and results of operations will depend on how the COVID-19 pandemic and its impacts to continue to develop, which are highly uncertain and cannot be predicted at this time.</w:t>
      </w:r>
    </w:p>
    <w:p>
      <w:pPr>
        <w:spacing w:after="0" w:line="178" w:lineRule="exact"/>
        <w:rPr>
          <w:sz w:val="20"/>
          <w:szCs w:val="20"/>
          <w:color w:val="auto"/>
        </w:rPr>
      </w:pPr>
    </w:p>
    <w:p>
      <w:pPr>
        <w:jc w:val="both"/>
        <w:ind w:firstLine="702"/>
        <w:spacing w:after="0" w:line="275" w:lineRule="auto"/>
        <w:rPr>
          <w:sz w:val="20"/>
          <w:szCs w:val="20"/>
          <w:color w:val="auto"/>
        </w:rPr>
      </w:pPr>
      <w:r>
        <w:rPr>
          <w:rFonts w:ascii="Arial" w:cs="Arial" w:eastAsia="Arial" w:hAnsi="Arial"/>
          <w:sz w:val="17"/>
          <w:szCs w:val="17"/>
          <w:color w:val="auto"/>
        </w:rPr>
        <w:t>In light of these uncertainties, for purposes of this report, except where otherwise indicated, the descriptions of our business, our strategies, our risk factors, and any other forward-looking statements, including regarding us, our business and the market generally, do not reflect the potential impact of the COVID-19 pandemic or our responses thereto. In addition, the disclosures contained in this report are made only as of the date hereof, and we undertake no obligation to publicly update or revise any forward-looking statement as a result of new information, future events or otherwise, except as otherwise required by law. For further information, see “Forward Looking Information.” and “Risk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PROVE INACCURATE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CERTAIN FORWARD-LOOKING STATEMENTS AND INFORMATION RELATING TO US THAT ARE BASED ON THE BELIEFS OF MANAGEMENT, AS WELL AS ASSUMPTIONS MADE BY AND INFORMATION CURRENTLY AVAILABLE TO US. WHEN USED IN THIS DOCUMENT, THE WORDS “ANTICIPATE,” “BELIEVE,” “ESTIMATE,” “SHOULD,” “PLAN,” AND “EXPECT” AND SIMILAR EXPRESSIONS, AS THEY RELATE TO US, ARE INTENDED TO IDENTIFY FORWARD-LOOKING STATEMENTS. SUCH STATEMENTS REFLECT OUR CURRENT VIEWS WITH RESPECT TO FUTURE EVENTS AND ARE SUBJECT TO CERTAIN RISKS, UNCERTAINTIES AND ASSUMPTIONS, INCLUDING THOSE DESCRIBED IN THIS ANNUAL REPORT ON FORM 10-K. SHOULD ONE OR MORE OF THESE RISKS OR UNCERTAINTIES MATERIALIZE, OR SHOULD UNDERLYING ASSUMPTIONS PROVE INCORRECT, ACTUAL RESULTS MAY VARY MATERIALLY FROM THOSE DESCRIBED HEREIN AS ANTICIPATED, BELIEVED, ESTIMATED, PLANNED OR EXPECTED. WE DO NOT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(or “IVFH”) (or the “Company”)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Florida corporation, for 500,000 shares of our common stock.</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18, 2012, the Company executed a Stock Purchase Agreement to acquire all of the issued and outstanding shares of Artisan Specialty Foods, Inc., an Illinois corporation (“Artisan”), from its owner, Mr. David Vohaska. The purchase price was $1.2 million, with up to another $300,000 (with a fair value of $131,000) payable in the event certain financial milestones are met over the next one or two years. Those milestones have been met.</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2014, pursuant to a purchase agreement, the Company purchased 100% of the membership interest of Organic Food Brokers, LLC, a Colorado limited liability company (“OFB”), for $300,000, 100,000 four year options at a price of $1.46 per share, and up to an additional $225,000 in earn-outs if certain milestones are met.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15, 2014, pursuant to a merger agreement, the Company acquired The Fresh Diet, Inc. (“FD”). Effective February 23, 2016, the Company closed a transaction to sell 90% of its ownership in FD for consideration consisting primarily of a restructuring of our loans, which includes the ability to convert to additional amounts of FD under certain circumstances. There is no continuing cash inflows or outflows from or to the discontinued operations.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an Asset Purchase Agreement dated as of January 1, 2017 the Company’s wholly-owned subsidiary, Oasis Sales Corp.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 The milestones have been met.</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Effective January 24, 2018, pursuant to an asset acquisition agreement, our wholly-owned subsidiary, Innovative Gourmet LLC (“Innovative Gourmet”), acquired substantially all of the assets and certain liabilities of igourmet LLC and igourmet NY LLC, privately-held New York limited liability companies located in West Pittston, Pennsylvania (collectively, “Sellers”)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LLC (“Food Funding”), funded advances of $325,000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$800,000 thousand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additional purchase price consideration milestone for 2018 and 2019 and 2020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pursuant to an asset purchase agreement between Mouth Foods, Inc. (“Mouth”) and our wholly-owned subsidiary M Innovations LLC (“M Innovations”) (the “MFI APA”), the Company acquired certain assets of Mouth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23, 2019, P Innovations LLC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currently conducted by our wholly owned subsidiaries, some of which are non-operating, Artisan Specialty Foods, Inc. (“Artisan”), Food Innovations, Inc. (“FII”), Food New Media Group, Inc. (“FNM”), Organic Food Brokers, LLC (“OFB”), Gourmet Food Service Group, Inc. (“GFG”), Gourmet Foodservice Warehouse, Inc. (“GFW”), Gourmeting, Inc. (“Gourmeting”), The Haley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or “Mouth”), P Innovations, LLC “P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www.forethegourmet.com and through other ecommerce channels, with unique specialty gourmet food products shipped directly from our network of vendors and from our warehouses within 24 – 72 hours. GFG is focused on expanding the Company’s program offerings to additional customers.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 Innovations provides 3rd party warehouse and fulfillment services, out of its first location at the Company’s Mountaintop, Pennsylvania facility.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D2C specialty food via e-commerce through its own website at www.igourmet.com and through other channels including www.amazon.com,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 (www.mouth.com) is an online retailer of specialty foods, monthly subscription boxes and curated gift boxes to thousands of consumers and corporate customers nationwide. Mouth sources high quality specialty foods mainly crafted in the US by independent and small batch makers, and expertly curates them into standout food gifts for both consumers and corporate customers. Mouth also has launched a private label brand, including several award-winning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distribute over 7,000 perishable and specialty food and food related products, including origin-specific seafood, domestic and imported meats, exotic game and poultry, artisanal cheeses, freshly prepared meals, caviar, wild and cultivated mushrooms, micro-greens, organic farmed and manufactured food products, estate-bottled olive oils and aged vinegars and expertly curated food gift baskets, gift boxes and a full of line of food subscription based offerings. Products are sold under the brand of the respective vendor and are also offered under a variety of Company owned brands. In addition, we offer a line of niche specialty healthcare related products. On a regular basis we add additional products including new products from small batch makers and other unique specialty food products. We offer our nationwide customers access to the best food products available from around the world, quickly, most direct, and cost-effectively.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Some of the items we sell include:</w:t>
      </w:r>
    </w:p>
    <w:p>
      <w:pPr>
        <w:spacing w:after="0" w:line="221" w:lineRule="exact"/>
        <w:rPr>
          <w:sz w:val="20"/>
          <w:szCs w:val="20"/>
          <w:color w:val="auto"/>
        </w:rPr>
      </w:pPr>
    </w:p>
    <w:p>
      <w:pPr>
        <w:ind w:left="500" w:hanging="492"/>
        <w:spacing w:after="0" w:line="28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Seafood </w:t>
      </w:r>
      <w:r>
        <w:rPr>
          <w:rFonts w:ascii="Arial" w:cs="Arial" w:eastAsia="Arial" w:hAnsi="Arial"/>
          <w:sz w:val="18"/>
          <w:szCs w:val="18"/>
          <w:color w:val="auto"/>
        </w:rPr>
        <w:t>- Alaskan wild king salmon, Hawaiian sashimi-grade ahi tuna, Gulf of Mexico day-boat snapper, Chesapeake Bay soft shell crabs, New</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live lobsters, Japanese Hamachi</w:t>
      </w:r>
    </w:p>
    <w:p>
      <w:pPr>
        <w:spacing w:after="0" w:line="161"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Meat &amp; Game </w:t>
      </w:r>
      <w:r>
        <w:rPr>
          <w:rFonts w:ascii="Arial" w:cs="Arial" w:eastAsia="Arial" w:hAnsi="Arial"/>
          <w:sz w:val="18"/>
          <w:szCs w:val="18"/>
          <w:color w:val="auto"/>
        </w:rPr>
        <w:t>- Prime rib of American kurobuta pork, dry-aged buffalo tenderloin, domestic lamb, Cervena venison, elk tenderloin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Produce </w:t>
      </w:r>
      <w:r>
        <w:rPr>
          <w:rFonts w:ascii="Arial" w:cs="Arial" w:eastAsia="Arial" w:hAnsi="Arial"/>
          <w:sz w:val="18"/>
          <w:szCs w:val="18"/>
          <w:color w:val="auto"/>
        </w:rPr>
        <w:t>- White asparagus, baby carrot tri-color mix, Oregon wild ramps, heirloom tomatoes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Poultry </w:t>
      </w:r>
      <w:r>
        <w:rPr>
          <w:rFonts w:ascii="Arial" w:cs="Arial" w:eastAsia="Arial" w:hAnsi="Arial"/>
          <w:sz w:val="18"/>
          <w:szCs w:val="18"/>
          <w:color w:val="auto"/>
        </w:rPr>
        <w:t>- Grade A foie gras, Hudson Valley quail, free range and organic chicken, airline breast of pheasant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Specialty </w:t>
      </w:r>
      <w:r>
        <w:rPr>
          <w:rFonts w:ascii="Arial" w:cs="Arial" w:eastAsia="Arial" w:hAnsi="Arial"/>
          <w:sz w:val="18"/>
          <w:szCs w:val="18"/>
          <w:color w:val="auto"/>
        </w:rPr>
        <w:t>- Truffle oils, fennel pollen, prosciutto di Parma, wild boar sausage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Mushrooms - </w:t>
      </w:r>
      <w:r>
        <w:rPr>
          <w:rFonts w:ascii="Arial" w:cs="Arial" w:eastAsia="Arial" w:hAnsi="Arial"/>
          <w:sz w:val="18"/>
          <w:szCs w:val="18"/>
          <w:color w:val="auto"/>
        </w:rPr>
        <w:t>Fresh morels, Trumpet Royale, porcini powder, wild golden chanterelles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Cheese - </w:t>
      </w:r>
      <w:r>
        <w:rPr>
          <w:rFonts w:ascii="Arial" w:cs="Arial" w:eastAsia="Arial" w:hAnsi="Arial"/>
          <w:sz w:val="18"/>
          <w:szCs w:val="18"/>
          <w:color w:val="auto"/>
        </w:rPr>
        <w:t>Maytag blue, buffalo mozzarella, Spanish manchego, Italian gorgonzola dolce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 and Logistics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foodservice focused, live chef-driven customer service department is generally available by telephone Monday through Thursday, from 8 a.m. to 6 p.m. and on Friday from 8 a.m. to 5 p.m., Florida time. Our consumer-focused multi-lingual, customer care specialists are available by live chat and telephone Monday through Thursday, from 9 a.m. to 7:00 pm (ET), and on Friday from 9:00 am to 5 pm (ET). Our team is available and can be contacted 7 days a week via email and on social media platforms. The customer service departments are made up of a team of chefs and culinary experts, including a team of culinary trained chefs, who are full-time employees of the Company, and who are experienced in all aspects of perishable and specialty products. By employing chefs and culinary experts to handle customer service, we are able to provide our customers with extensive information about our products, including:</w:t>
      </w:r>
    </w:p>
    <w:p>
      <w:pPr>
        <w:spacing w:after="0" w:line="19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Flavor profile and eating qualities</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Recipe and usage ideas</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 seasonality, and availability</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Cross utilization ideas and complementary uses of products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logistics team manages the shipping and delivery process of every package to ensure timely delivery of products to our customers. We have developed the web-based capability to allow customers to seamlessly receive and send personal orders and gifts according to their desired schedule. The logistics manager receives shipping information on all products ordered, and packages are monitored from origin to delivery. In the event that delivery service is interrupted, our logistics department begins the process of expediting the package to its destination or potentially reshipping the package with a goal of 100% customer satisfaction for our customers. Our logistics manager works directly with our suppliers on an ongoing basis, to ensure that the appropriate packaging and shipping specifications are in place at all times. At the beginning of March 2020, as early signs were beginning to emerge that Covid-19 might potentially be a significant issue in the United states, we initiated additional preventative safety measure in our facilities and we continued adding additional preventative safety measures including protective gear for employees, temperature testing, ongoing onsite team of cleaning and sanitizing specialists, social distancing, special no contact package handling protocols and we continue to assess and add additional measures targeted towards the safety of our employees and the safety of our facilities and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historically sold the majority of our products, $20,748,819 and $33,076,022, respectively, representing 40% and 57% of total sales, respectively, in each of the years ended December 31, 2020 and 2019, through a distributor relationship between FII, one of our wholly-owned subsidiaries, and subsidiaries of U.S. Foods, a leading broadline distributor. On January 26, 2015 we executed a contract directly between FII and U.S. Foods (the “U.S. Foods Agreement”). The term of the U.S. Foods Agreement was from January 1, 2015 through December 31, 2016 and provided for a limited number of automatic annual renewals thereafter if no party gives the other 30 days’ notice of its intent not to renew. Based on the terms, the U.S. Foods Agreement was extended through December 31, 2018. Effective January 1, 2018 the U.S. Foods Agreement was further amended to remove the cap on renewals, and provide for an unlimited number of additional 12-month terms unless either party notifies the other in writing, 30 days prior to the end date, of its intent not to renew.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COVID-19 outbreak in the United States the economic outlook for restaurant-based specialty food remains unclear. According to Technomic, a leading foodservice research provider, despite their expressed excitement and love for restaurants and the experience they provide, consumers report a growing reluctance to quickly return to normal restaurant behaviors. In addition, according to Technomic, food establishment operators are also showing drops in optimism about the pace of reopening. Despite potentially experiencing the bottom of the sales drop, many operators are reporting that they do not expect a quick recovery and expect a prolonged ramp-up period and Technomic is estimating that despite the significant decline in 2020 US restaurant sales, the U.S. restaurant industry sales will grow by 21% in 2021 depending on the length of the shutdown and any subsequent recession.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Credit Suisse Group estimates that 80% of U.S. household food spend now goes towards food-at-home vs. food-away-from-home. This is greater than the food-at-home spending share in 2018 of 47.6% and post-Great Recession peak of 50%, as per the United States Department of Agriculture’s Economic Research Service. In addition, recent commentary from Neilsen indicates that with improvements in technology, infrastructure and experience, coupled with a reduction in barriers to trial, such as delivery length or shipping costs, buyer adoption of online CPG shopping has consistently increased over the last two years. Yet while those changes have increased adoption of online ordering, COVID-19 has caused another step change in the way consumers shop.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onset of the COVID-19 outbreak, industry trends were very favorable towards market acceptance and continued growth of specialty food brands, which was a trend that boded well for us and our products.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drive growth within the specialty food space, we intend to focus our efforts in demand driven active sales channels and leverage our ability to offer our products across multiple selling channels including to professional chefs within the restaurant channel as well as directly to consumer at home via ecommerce. We expect to continue offering unique and premium quality products as well as new product introduction and innovation to our customers and potential customers. In addition, we plan on continuing to value and strive for a high level of personalized customer service.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attempting to grow our business through:</w:t>
      </w:r>
    </w:p>
    <w:p>
      <w:pPr>
        <w:spacing w:after="0" w:line="225" w:lineRule="exact"/>
        <w:rPr>
          <w:sz w:val="20"/>
          <w:szCs w:val="20"/>
          <w:color w:val="auto"/>
        </w:rPr>
      </w:pPr>
    </w:p>
    <w:p>
      <w:pPr>
        <w:ind w:left="780" w:hanging="38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ecommerce conversion rates by improving the shopping experience on our website.</w:t>
      </w:r>
    </w:p>
    <w:p>
      <w:pPr>
        <w:spacing w:after="0" w:line="225" w:lineRule="exact"/>
        <w:rPr>
          <w:rFonts w:ascii="Arial" w:cs="Arial" w:eastAsia="Arial" w:hAnsi="Arial"/>
          <w:sz w:val="18"/>
          <w:szCs w:val="18"/>
          <w:color w:val="auto"/>
        </w:rPr>
      </w:pPr>
    </w:p>
    <w:p>
      <w:pPr>
        <w:ind w:left="780" w:hanging="38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number of unique visitors to our various ecommerce sites.</w:t>
      </w:r>
    </w:p>
    <w:p>
      <w:pPr>
        <w:spacing w:after="0" w:line="225" w:lineRule="exact"/>
        <w:rPr>
          <w:rFonts w:ascii="Arial" w:cs="Arial" w:eastAsia="Arial" w:hAnsi="Arial"/>
          <w:sz w:val="18"/>
          <w:szCs w:val="18"/>
          <w:color w:val="auto"/>
        </w:rPr>
      </w:pPr>
    </w:p>
    <w:p>
      <w:pPr>
        <w:ind w:left="780" w:hanging="38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sales of current product catalog to our existing customers and potential new customers.</w:t>
      </w:r>
    </w:p>
    <w:p>
      <w:pPr>
        <w:spacing w:after="0" w:line="225" w:lineRule="exact"/>
        <w:rPr>
          <w:rFonts w:ascii="Arial" w:cs="Arial" w:eastAsia="Arial" w:hAnsi="Arial"/>
          <w:sz w:val="18"/>
          <w:szCs w:val="18"/>
          <w:color w:val="auto"/>
        </w:rPr>
      </w:pPr>
    </w:p>
    <w:p>
      <w:pPr>
        <w:ind w:left="780" w:hanging="38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products to customers.</w:t>
      </w:r>
    </w:p>
    <w:p>
      <w:pPr>
        <w:spacing w:after="0" w:line="225" w:lineRule="exact"/>
        <w:rPr>
          <w:rFonts w:ascii="Arial" w:cs="Arial" w:eastAsia="Arial" w:hAnsi="Arial"/>
          <w:sz w:val="18"/>
          <w:szCs w:val="18"/>
          <w:color w:val="auto"/>
        </w:rPr>
      </w:pPr>
    </w:p>
    <w:p>
      <w:pPr>
        <w:ind w:left="780" w:hanging="38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Expansion of availability of branded products and new brands which are consistent with the changing demands of customers in the U.S.</w:t>
      </w:r>
    </w:p>
    <w:p>
      <w:pPr>
        <w:spacing w:after="0" w:line="236" w:lineRule="exact"/>
        <w:rPr>
          <w:rFonts w:ascii="Arial" w:cs="Arial" w:eastAsia="Arial" w:hAnsi="Arial"/>
          <w:sz w:val="17"/>
          <w:szCs w:val="17"/>
          <w:color w:val="auto"/>
        </w:rPr>
      </w:pPr>
    </w:p>
    <w:p>
      <w:pPr>
        <w:ind w:left="780" w:right="20" w:hanging="381"/>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igourmet.com and mouth.com toward further expansion of our sales and distribution channels either organically or through acquisition.</w:t>
      </w:r>
    </w:p>
    <w:p>
      <w:pPr>
        <w:spacing w:after="0" w:line="170" w:lineRule="exact"/>
        <w:rPr>
          <w:rFonts w:ascii="Arial" w:cs="Arial" w:eastAsia="Arial" w:hAnsi="Arial"/>
          <w:sz w:val="18"/>
          <w:szCs w:val="18"/>
          <w:color w:val="auto"/>
        </w:rPr>
      </w:pPr>
    </w:p>
    <w:p>
      <w:pPr>
        <w:ind w:left="780" w:hanging="381"/>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platform to partner with both foodservice and other consumer oriented entities such as stores and celebrity brands, to offer unique product offerings related to specialty food and specialty food gifting.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attempting to grow our current business, we believe that there are lateral opportunities in the food industry. We may consider the possibility of acquiring specialty food manufacturers, specialty food distributors, small specialty food brands, or specialty food e-commerce businesses. We anticipate that, given our current cash flow levels, any acquisition could potentially involve the issuance of additional shares of our common stock or third party financing, which may not be available on acceptable terms. No acquisition will be consummated without thorough due diligence. No assurance can be given that we will be able to identify and successfully conclude negotiations with any potential target.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face intense competition in the marketing of our products and services, it is our belief that there are few companies offering such a broad range of customer service oriented, quality, chef driven products and specialty gourmet products, for delivery from same day to 72 hours. Our primary competition is from local purveyors that supply a limited local market and have a limited range of products and from the other specialty gourmet distributors and specialty food retail stores or ecommerce stores, and from the national, regional or local expansion of specialty and non-specialty food distributers and food stores and food focused ecommerce sites. In addition,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Business Owners Policy with a general liability per occurrence limit of $1,000,000 and aggregate policy covering $2,000,000 of liability for all entities. The Company carries an Auto Policy with non-owned automobile bodily injury and property damage coverage with a limit of $1,000,000 for all entities. The Company also carries an Umbrella policy of up to $14,000,000 which covers all entities, along with two excess umbrella policies that sit over the BOP and Umbrella policies. The excess umbrella policies have limits of $5,000,000 and $6,000,000. The Company carries a Cyber policy of up to $2,000,000 which insures the Company and its subsidiaries. The Company carries two Commercial Property Policies, for its buildings in PA and FL, with a limit of up to $12,490,000 for PA and a limit of up to $1,595,000 for FL . Such insurance may not be sufficient to cover all potential claims against us and additional insurance may not be available in the future at a reasonable price.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and state laws currently exist, and more are sure to be adopted, regulating the delivery of fresh food products. We require specialty foodservice third-party vendors to certify that they maintain at least $3,000,000 liability insurance coverage and compliance with Hazard Analysis and Critical Control Point (HACCP), an FDA- and USDA-mandated food safety program, or a similar standard. Any changes in the government regulation of delivering of fresh food products that hinders our current ability and/or cost to deliver fresh products, could adversely impact our net revenues and gross margins and, therefore, our profitability and cash flows could also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currently employ 129 full-time employees, including 8 chefs and 2 executive officers. We believe that our relations with our employees are satisfactory.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represented by a union.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Under the heading Major Customer in Note 19 to the Consolidated Financial Statements, (3) in Business – Relationship with U.S. Foods, (4) as the third item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Us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executive offices are located at 28411 Race Track Rd., Bonita Springs, Florida 34135; our Internet address is www.ivfh.com; and our telephone number is (239) 596-0204. The contents of our website are not incorporated in or deemed to be a part of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face risks related to health epidemics and other widespread outbreaks of contagious disease, which could significantly disrupt our sales and supply chain and impact our operating results.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outbreaks of contagious diseases, and other adverse public health developments, could have a material impact on our business operations and operating results. In December 2019, a strain of novel coronavirus (COVID-19) causing respiratory illness and death emerged in the city of Wuhan in the Hubei province of China. The coronavirus was declared a global pandemic by the World Health Organization and has been spreading throughout the world, including the United States, resulting in emergency measures, including travel bans, closure of retail stores, and restrictions on gatherings of more than a maximum number of people. Included in these emergency measures is the mandated full or partial closure of restaurants and other foodservice establishments across the United States. These foodservice establishments represent a significant portion of our revenues and their continued closure and/or operation with capacity limits would likely continue to have a detrimental effect on our business.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in the relatively short period with which the world has been dealing with this pandemic, significant economic turmoil has already impacted world markets. Numerous nationally recognized economists are predicting that the disease will lead to a worldwide recession. Should that occur, we can expect that our sales, net income and cash flows will be negatively impacted. While the governmental organizations of the United States, as well as governments across the world, are implementing emergency economic measures and announcing the consideration of additional emergency economic assistance packages, it is unclear what impact they are having, and will have, on the economy in the United States and worldwide. Great uncertainty surrounds the length of time this disease will continue to spread, the potential effect the disease, or the fear of the disease, could have on any area of our business operations, the number of people it will impact, directly and indirectly, and the extent governments will continue to impose, or add additional, quarantines, curfews, travel restrictions and closures of restaurants and other foodservice establishments. In addition, even following control of the disease and the end of the pandemic, the economic dislocation caused by the disease to so many people may linger and be so significant that consumers’ focus could be directed away from spending for products such as ours for an extended period of time. In addition, if the economy does not begin recovering and foodservice revenues do not increase, there could be financial stress on the Company which may require the Company to take additional measures appropriate under those circumstances. For all of these reasons, the impact on sales, net income and cash flows can be significant depending on the items mentioned above but at this time we cannot quantify the specific extent of the impact this disease will have on our sales, net income and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Requiring Us to Seek Additional Sources of Capital.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2020, we had an accumulated deficit of $32,399,793. We cannot assure you that we can achieve profitability on a quarterly or annual basis in the future. If revenues grow more slowly than we anticipate, or if operating expenses exceed our expectations or cannot be adjusted accordingly, or other extraordinary events occur, we will incur losses. Our possible success is dependent upon the successful development and marketing of our services and products, as well as continued expansion of our products and customers, as to which we can give no assurance. Any future success that we might enjoy will depend upon many factors, including factors out of our control or which cannot be predicted at this time.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and other economic and non-economic factors. These conditions may have a materially adverse effect upon us or may force us to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in such instance to obtain sufficient funds from our operations or external sources could require us to curtail operations.</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Historically Derived Substantially Most of Our Revenue From One Client and if We Were to Lose Such Client and Be Unable to Generate New Sales to Offset Such Loss, We May Be Forced to Cease or Curtail Our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2003, Next Day Gourmet initially contracted with our subsidiary, Food Innovations, to handle the distribution of over 3,000 perishable and specialty food products to customers of USF. Effective January 1, 2018, we executed a contract amendment between Food Innovations, Inc., our wholly-owned subsidiary, and U.S. Foods which provides for no limit on automatic annual renewals thereafter if no party gives the other 30 days’ notice of its intent not to renew. Our sales through USF’s sales force generated gross revenues for us of $20,748,819 in the year ended December 31, 2020, and $33,076,220 in the year ended December 31, 2019. Those amounts contributed 40% and 57% of our total sales for each of 2020 and 2019, respectively. Our sales efforts within specialty foodservice are for the most part substantially dependent upon the efforts of the USF sales force. Although we have generated revenues from additional customers other than USF, if our relationship with USF were to be materially changed and we are unable to generate substantial new sales to offset such loss, we may be forced to significantly curtail our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Variety of Factors, Including Seasonality and the Economic Environment, May Cause Our Quarterly Operating Results to Fluctuate, Leading to Volatility in Our Stock Price.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quarterly results have fluctuated in the past and may fluctuate in the future, depending upon a variety of factors, including changes in economic conditions, including both COVID-19 related and non-related conditions, and shifts in the timing of holiday related purchases. While our annual sales have always had a significant seasonal aspect, this has increased with our acquisition of substantially all of the assets of igourmet LLC and Mouth Foods, Inc, as further described below. As a result of the seasonal nature of our business, we would be significantly and adversely affected, in a manner disproportionate to the impact on a company with sales spread more evenly throughout the year, by unforeseen events such as a terrorist attack or economic shock (including shock caused by world-wide pandemic or otherwise) that harm the retail environment or consumer buying patterns during our key selling season, or by events such as pandemic, strikes or weather related delays that interfere with the shipment of goods, during the critical period of the holiday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Availability of our Bank Loans Could Adversely Impact our Business and Financial Condition.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have multiple loans with Fifth Third Bank. All of these contain cross-default provisions which means that all outstanding borrowings can be accelerated and can become immediately due and payable in the event of a default in any of such loans, which includes, among other things, failure to comply with certain financial covenants, one of which was not met at year end, or breach of representations contained in the loan documents, defaults under other loans or obligations or involvement in bankruptcy proceedings (as such terms are defined in the loan documents). We are also subject to negative covenants which, during the life of the loans, prohibit and/or limit us from, among other things, incurring certain types of other debt, acquiring other companies, making certain expenditures or investments, and changing the character of our business. Any material change to the business and economic landscape negatively impacting our business, including among other things, an outbreak of infectious disease, a pandemic or a similar public health threat, such as the COVID-19 outbreak, could adversely impact our ability to comply with such covenants. Our failure to comply with such covenants or any other breach of the loan documents could cause a default and we may then be required to repay all of such borrowings with capital from other sources. Under these circumstances, other sources of capital may not be available or may be available only on unfavorable terms. In the event of a default, it is possible that our assets and certain of our subsidiaries’ assets may be attached or seized by the lenders. Any (i) failure by us to comply with the covenants or other provisions of the loan documents, (ii) difficulty in securing any required future financing, or (iii) any such seizure or attachment of assets could have a material adverse effect on our business and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Recent Acquisition of Substantially All of the Assets of igourmet LLC and Mouth Foods, Inc. Could Create Additional Risks to Our Business.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23, 2018, our subsidiary, Innovative Gourmet LLC, acquired substantially all of the assets of igourmet, LLC. On July 6, 2018, our subsidiary, M Innovations LLC, acquired substantially all of assets of Mouth Foods, Inc. These businesses are very seasonal in nature, which generates certain operational considerations and could exacerbate the seasonality of our business. To wit, if Innovative Gourmet or Mouth does not have a strong holiday season, it likely will not be successful. In addition, while our subsidiary acquired only certain discrete liabilities of igourmet LLC, creditors of igourmet or Mouth may seek to impose liability on us or our subsidiaries, the payment of which, if required, could impair our cash flow and even if there may be no actual liability or responsibility to pay such claims, our challenge to such claims could involve significant legal fees and be a distraction to our management. The business model of the assets acquired from igourmet LLC and Mouth differ from our current businesses and operations, and therefore the success of its operations and its business model may create unforeseen complications requiring the use of our limited resources to resolve.</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Computer System Disruption and Cyber Security Attacks or a Data Breach Could Damage Our Relationships With Our Customers, Harm Our Reputation, Expose Us To Litigation And Adversely Affect Our Business.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systems are subject to damage or interruption from computer viruses, malicious attacks and other security breaches. The possibility of a cyberattack on any one or all of these systems is a serious threat.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our business model, we collect, retain, and transmit confidential information over public networks. In addition to our own databases, we use third party service providers to store, process and transmit this information on our behalf. Although we contractually require these service providers to implement and use reasonable security measures, we cannot control third parties and cannot guarantee that a security breach will not occur in the future either at their location or within their systems. We have confidential security measures in place to protect both our physical facilities and digital systems from attacks. Despite these efforts, we may be vulnerable to targeted or random security breaches, acts of vandalism, computer viruses, misplaced or lost data, programming and/or human errors, or other similar events.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growing nature of our e-commerce presence and digital strategy, it is imperative that we and our partners maintain uninterrupted and secure operation of our: (i) computer hardware, (ii) software systems, (iii) customer marketing databases and other customer information, and (iv) ability to email our current and potential customers.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systems are damaged or fail to function properly or reliably, we may incur substantial repair or replacement costs, experience data loss or theft and impediments to our ability to conduct our operations. Any material disruptions in our e-commerce presence or information technology systems could have a material adverse effect on our business, financial condition and results of operations.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 Failure to Establish and Maintain Strategic Online and Social Media Relationships, and Other Relationships Targeted Towards Driving Web Traffic to our Websites, that Generate a Significant Amount of Traffic Could Limit the Growth of the Assets Acquired from igourmet LLC and Mouth Foods Inc.</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third party websites, search engines and affiliates with which we have strategic relationships for traffic. If these third-parties do not attract a significant number of visitors, we may not receive a significant number of online customers from these relationships and our revenues from these relationships may remain flat or decrease. There continues to be strong competition to establish or maintain relationships with leading Internet companies, and we may not successfully enter into additional relationships, or renew existing ones beyond their current terms. We may also be required to pay significant fees to maintain and expand existing relationships or possibly not achieve the desired results with existing relationships. Our online revenues may suffer if we do not enter into new relationships or maintain existing relationships or if these relationships do not result in traffic sufficient to justify their costs.</w:t>
      </w:r>
    </w:p>
    <w:p>
      <w:pPr>
        <w:spacing w:after="0" w:line="19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a Significant Number of Customers are not Satisfied with their Purchase, We will be Required to Incur Substantial Costs to Issue Refunds, Credits or Replacement Products.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customers are not satisfied with the products they receive, we may either replace the product for the customer or issue the customer a refund or credit. Ours net income would decrease if a significant number of customers request replacement products, refunds or credits and we are unable to pass such costs onto the supplier.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Continuously Improve Our Website, it May Not Attract or Retain 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potential or existing customers do not find our websites including www.igourmet.com, www.mouth.com or any of the company’s other websites, a convenient place to shop, we may not attract or retain customers and our sales may suffer. To encourage the use of our website, we must continuously improve its accessibility, mobile capabilities, content and ease of use. In addition, customer traffic and our business would be adversely affected if competitors’ websites are perceived as easier to use or better able to satisfy customer needs. Furthermore, e-commerce conversion rates could be adversely affected by a variety of website related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to Help Grow Our Business May Not be Effective.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and promoting awareness of our websites, including www.igourmet.com is important to our ability to attract and retain visitors. Generating a meaningful return on our investments in marketing initiatives may be difficult. The marketing efforts we implement may not succeed for a variety of reasons, including our inability to execute and implement our plans. External factors beyond our control may also impact the success of our marketing initiatives. Search engines frequently change the algorithms that determine the ranking and display of results of a user’s search and may make other changes to the way results are displayed, which can negatively affect the placement of links to our websites and, therefore, reduce the number of visits to our websites.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growing use of online ad-blocking software, including on mobile devices, may also impact the success of our marketing efforts because we may reach a smaller audience and fail to bring more visitors to our websites. In addition, ongoing privacy regulatory changes may impact the scope and effectiveness of marketing and advertising services generally, including those used related to our websites. We also seek to obtain website visitors through email. If we are unable to successfully deliver emails to potential customers or customers do not open our emails, whether by choice or because those emails are marked as low priority or spam, or for other reasons, our business could be adversely affected. Social networking websites, such as Facebook and others are another source of visits to our websites. As ecommerce and social networking evolve, we must continue to evolve our marketing tactics accordingly and, if we are unable to do so, our business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Accurately Predict Customer Demand for Our Products, We May Lose Customers or Experience Increased Costs.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expand the volume of products offered to our customers, we may be required or may elect for business purposes, to increase inventory levels and the number of products maintained in our warehouses. If we overestimate customer demand for our products, excess inventory and outdated merchandise could accumulate, tying up working capital and potentially resulting in reduced warehouse capacity and inventory losses due to damage, theft and obsolescence. If we underestimate customer demand, it may disappoint customers who may turn to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Laws with Respect to Taxes Have Changed and May Change Again Which Could Impact Our Operating Results.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Congress has enacted legislation that significantly reforms the Internal Revenue Code of 1986, as amended. The new legislation, among other things, includes changes to U.S. federal tax rates, imposes significant additional limitations on the deductibility of interest and net operating losses, and allows for the expensing of certain capital expenditures. Our net deferred tax assets and liabilities will be revalued at the newly enacted U.S. corporate rate, and the impact will be recognized in our tax expense in the year of enactment. We have adjusted our deferred tax assets and liabilities at December 31, 2018, using the new corporate rate of 21 percent; however, we base our estimates on historical experience and on various other assumptions that are believed to be reasonable in the circumstances, the results of which form the basis for making judgments about the carrying values of assets and liabilities that are not readily apparent from other sources. Actual results may differ from these estimates under different assumptions or conditions. it is possible that the application of these new rules may have a material and adverse impact on our operating results, cash flows and financial condition. Furthermore, the recent Supreme Court Ruling in South Dakota V. Wayfair, Inc, in which the Court upheld South Dakota’s economic nexus law, which requires companies to collect sales tax when their sales or the number of transactions with the state exceed certain thresholds. could have an adverse on our business. In addition, any other changes to applicable tax laws, whether on a federal or state level, could also decrease our ability to compete with traditional retailers, and otherwise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Attract and Retain Key Personnel, Our Business and Operating Results May be Harmed.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success depends to a significant degree on the skills, experience and efforts of key personnel in our senior management, whose vision for our company, knowledge of our business and expertise would be difficult to replace. If any one of our key employees leaves, is unable to work, or fails to perform and we are unable to find a qualified replacement, we may be unable to execute our business strategy.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Growth Which Could Result in Our Being Unable to Maintain Our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strategy for growth is focused on continued enhancements and expansion to our existing business model, offering a broader range of services and products, affiliating with additional vendors and through possible joint ventures. Pursuing this strategy presents a variety of challenges. We may not experience an increase in our services to our existing customers, and we may not be able to achieve the economies of scale, or provide the business, administrative and financial services, required to sustain profitability from servicing our existing and future customer base. Should we be successful in our expansion efforts, the expansion of our business would place further demands on our management, operational capacity and financial resources. To a significant extent, our future success will be dependent upon our ability to maintain adequate financial controls and reporting systems to manage a larger operation and to obtain additional capital upon favorable terms. We can give no assurance that we will be able to successfully implement our planned expansion (whether due to the impact of COVID-19 or other unrelated reasons), finance its growth, or manage the resulting larger operations, if any. In addition, we can give no assurance that our current systems, procedures or controls will be adequate to support any expansion of our operations. Our failure to manage our growth effectively could have a material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Specialty Food and Foodservice Industry is Very Competitive, Which May Result in Decreased Revenue for Us as Well as Increased Expenses Associated with Marketing Our Services and Products.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specialty food and foodservice businesses are highly competitive. We compete against other providers of quality foods, some of which sell their services globally, and some of these providers have considerably greater resources than we have. These competitors may have greater marketing and sales capacity, established distribution networks, significant goodwill and global name recognition. Our e-commerce and product catalog websites and paper mailings compete with other e-commerce websites and other catalogs, and other specialty foodservice providers that market lines of products similar to ours. We compete with national, regional and local businesses utilizing a similar strategy, as well as traditional specialty food and foodservice distributors. The substantial sales growth in the direct-to-customer industry within the last decade has encouraged the entry of many new competitors, new business models, and an increase in competition from established companies. Furthermore, it may become necessary for us to reduce our prices in response to competition. This could negatively impact our ability to be profitable.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Upon Outside Vendors and Shippers for Our Specialty Food Products and Interruption in the Supply of Our Products or their Failure to Adhere to Our Quality Standards May Negatively Impact Our Revenues.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Shortages in supplies of the food products we sell may impair our ability to provide our services. Our vendors are independent and we cannot guarantee their future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Also, if our suppliers fail to supply quality product in a timely and effective manner it could lead to an increase in recalls and customer litigation against us which could harm our brands’ images and negatively affect our business and operating results. The success of our business depends, in part, on our ability to timely and effectively deliver merchandise (e.g. fresh products) to our customers. We cannot control all of the various factors that might affect our fulfillment rates in direct-to-customer sales. We are heavily dependent upon one national carrier for the delivery of our fresh products to our customers. Accordingly, we are subject to risks, including labor disputes, union organizing activity, inclement weather, technology breakdowns, natural disasters, the closure of their offices or a reduction in operational hours due to an economic slowdown or health related crisis, possible acts of terrorism, their ability to provide delivery services to meet our shipping needs, disruptions or increased fuel costs, and costs associated with any regulations to address climate change. Since our customers rely on us to deliver their orders daily or within 24-72 hours, delivery delays could significantly harm our business.</w:t>
      </w:r>
    </w:p>
    <w:p>
      <w:pPr>
        <w:spacing w:after="0" w:line="1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In Order to be Successful, We Must be able to Enhance Our Existing Products and Develop and Introduce New Products and Services to Respond to Changing Market Demand.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in which we operate are characterized by frequently changing customer demand and the introduction of new “flavors of the month” as certain foods become more and less popular. Changes in customer preferences and buying trends may also affect our products differently. We must be able to stay current with preferences and trends in specialty food and address the customer tastes for each of our target customer demographics. We must also be able to identify and adjust products to cater to customer demands and dietary needs. For example, a change in customer preferences for gluten free items may not correlate to a similar change in buying trends for other specialty food. In order to be successful, we must be able to enhance our existing products and anticipate and develop and introduce new products and services to respond to changing market demand for new tastes. The development and enhancement of services and products entails significant risks, including: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the inability to effectively adapt new food types to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the failure to conform our services and products to evolving industry standards;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 the inability to develop, introduce and market enhancements to our existing services and products or new services and products on a timely basis;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the non-acceptance by the market of such new service and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misjudge either the market for our products or our customers’ purchasing habits, our sales may decline significantly which would negatively impact our business and operating results.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Acquisitions We Make or Have Made Could Result in Difficulties in Successfully Managing Our Business and Consequently Harm Our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expand by acquiring complementary businesses or assets in our current or ancillary markets. We cannot accurately predict the timing, size and success of our acquisition efforts and the associated capital commitments that might be required. We expect to face competition for acquisition candidates, which may limit the number of acquisition opportunities available to us and may lead to higher acquisition prices. There can be no assurance that we will be able to identify, acquire or profitably manage additional businesses or successfully integrate acquired businesses, if any, without substantial costs, delays or other operational or financial difficulties. In addition, acquisitions involve a number of other risks, including:</w:t>
      </w:r>
    </w:p>
    <w:p>
      <w:pPr>
        <w:spacing w:after="0" w:line="176"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the acquired businesses or assets acquired to achieve expected results;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integrate acquired business or assets into current operations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and resources to acquisitions;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retain key customers or personnel of the acquired businesses or assets;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disappointing quality or functionality of acquired equipment and people; and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unanticipated events, liabilities or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 dissatisfaction or performance problems at a single acquired business could negatively affect our reputation. The inability to acquire businesses on reasonable terms or successfully integrate and manage acquired companies, or the occurrence of performance problems at acquired companies, both prior and after acquisition, could result, or has resulted, in dilution, potential violations of bank covenants, unfavorable accounting treatment or one-time charges, and difficulties in successfully managing our business, requiring us to expend additional effort and expense in obtaining waivers, settling matters and otherwise addressing any such issues.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Results Depend on Continued Evolution of the Internet and its Use by Consumers and Businesses for Buying Our Products.</w:t>
      </w: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future results can depend on the use of the Internet for information, publication, distribution and commerce. Our growth may also be dependent on increasing availability to business consumers of broadband Internet access which will allow such persons to access higher-capacity content through the Internet. Our business could suffer if Internet usage and broadband availability does not continue to grow and evolve. In addition, the concept of ordering food, including ingredients, while it has recently grown, is a relatively new concept and represents a change from the way it had been previously done.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Effectively Manage Our IT Dependent Business Our Reputation and Operating Results May be Harmed.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our business depends, in part, on third parties and factors over which we have limited control. We are also vulnerable to certain additional risks and uncertainties associated with our e-commerce and product catalog websites, our internal IT systems and IT integration with our partners, including: changes in required technology interfaces; system issues and limitations, website downtime and other technical failures; internet connectivity issues; costs and technical issues as we upgrade our website software; computer viruses; changes in applicable federal and state regulations; security breaches; and consumer privacy concerns. 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succeed in increasing sales or attracting customers. Our failure to successfully respond to these risks and uncertainties might adversely affect our sales, as well as damage our reputation and brands.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Exposed to Risks and Costs Associated with Credit Card Fraud and Identity Theft that could Cause Us to Incur Unexpected Expenses and Loss of Revenue.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increasing portion of our customer orders are placed through our e-commerce websites and a significant portion of our orders are submitted via networked applications. In addition, a significant portion of sales made through our retail channel require the collection of certain customer data, such as credit card information. In order for our sales channels to function and develop successfully, we and other parties involved in processing customer transactions must be able to transmit confidential information, including credit card information, securely over public networks. Third parties may have the technology or knowledge to breach the security of customer transaction data. Although we take the security of our systems and the privacy of our customers’ confidential information extremely seriously, we cannot guarantee that our security measures will effectively prevent others from obtaining unauthorized access to our information and our customers’ information. Any person who circumvents our security measures could destroy or steal valuable information or disrupt our operations. Any security breach could cause consumers to lose confidence in the security of our websites and choose not to purchase from us. Any security breach could also expose us to risks of data loss, litigation and liability and could seriously disrupt our operations and harm our reputation, any of which could harm our business.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states and the federal government are increasingly enacting laws and regulations to protect consumers against identity theft. Compliance with these laws will likely increase the costs of doing business and, if we fail to implement appropriate safeguards or to detect and provide prompt notice of unauthorized access as required by some of these new laws, we could be subject to potential claims for damages and other remedies, which could harm our business.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Earthquakes, Inclement Weather or Other Events Out of Our Control May Damage or Limit Production from Our Facilities and Our Ability to Timely Deliver Products Thereby Adversely Affecting Our Results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significant operations in Florida, Illinois, and in other areas where weather or other events such as an earthquake, tsunami, hurricane, flood, fire, high winds, extreme heat or cold, or other natural or manmade events, could disrupt our operations and impair production or distribution of our products, damage inventory, interrupt critical functions, or otherwise affect our business negatively, adversely affecting our results of operations.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Declines in General Economic Conditions and the Resulting Impact on Consumer Confidence and Consumer Spending Could Adversely Impact Our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whether due to COVID-19 or other unrelated reasons. Consumer purchases of discretionary items, including specifically our merchandise, generally decline during periods when disposable income is limited, unemployment rates increase, and consumer perceptions of personal well-being and security declines or there is economic uncertainty. An uncertain economic environment, could adversely impact our business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and May Be Subject to Regulatory Compliance and Legal Uncertainties.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Changes in government regulation and supervision or proposed Department of Agriculture or other regulatory agency reforms or rule changes could impair our sources of revenue and limit our ability to expand our business. In the event any future laws or regulations are enacted which apply to us, we may have to expend funds and/or alter our operations to insure compliance. New legislation or regulation, or the application of existing laws and regulations to the areas related to our business could add additional costs and risks to doing business. In addition, we are subject to regulations applicable to businesses generally and laws and regulations directly applicable to communications over the Internet and access to e-commerce. In addition, it is possible that a number of laws and regulations may be adopted with respect to the Internet and other areas of our business, covering issues such as user privacy, pricing, content, copyrights, distribution, antitrust, taxation and characteristics and quality of products and services.</w:t>
      </w:r>
    </w:p>
    <w:p>
      <w:pPr>
        <w:spacing w:after="0" w:line="17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Since we do Not Intend to Pay Any Cash Dividends on Our Shares of Common Stock, Our Stockholders Will Not be Able to Receive a Return on Their Shares Unless They Sell Them</w:t>
      </w:r>
      <w:r>
        <w:rPr>
          <w:rFonts w:ascii="Arial" w:cs="Arial" w:eastAsia="Arial" w:hAnsi="Arial"/>
          <w:sz w:val="18"/>
          <w:szCs w:val="18"/>
          <w:color w:val="auto"/>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Unless we pay dividends, our stockholders will not be able to receive a return on their shares unless they sell them at a price higher than that which they initially paid for such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Subject to Legal Proceedings that Could be Time Consuming, Result in Costly Litigation, Require Significant Amounts of Management Time and Result in the Diversion of Significant Operational Resources.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involved in lawsuits, claims and proceedings incident to the ordinary course of our business. Litigation is inherently unpredictable. Any claims against us, whether meritorious or not, could be time consuming, result in costly arbitration or litigation, require significant amounts of management time and result in the diversion of significant operational resources. Even if we believe that we have meritorious defenses against these actions, and we resolve to vigorously defend against them, the cost of defending against all these types of claims against us or the ultimate resolution of such claims, whether by settlement or adverse court decision, may harm our business and operating results and may be in excess of any amounts previously reserved for legal expenses. In addition, the increasingly regulated business environment and the nature of our products may result in a greater number of enforcement actions and private litigation. This could subject us to increased exposure to stockholder lawsuits. Also, we (and our affiliates) may be subject to attempts to bring legal claims by creditors and other third parties related to the liabilities or potential liabilities, of our former subsidiary, FD, or of igourmet LLC, or of the liabilities related to any company whose assets we acquired or do business with.</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Smaller Reporting Company, and We Cannot be Certain if the Reduced Reporting Requirements Applicable to Smaller Reporting Companies Will Make our Common Stock Less Attractive to Investors.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smaller reporting company, as defined in the Securities Act of 1933.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reduced disclosure obligations regarding historical financial statements, executive compensation in our periodic reports, registration statements,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will remain a smaller reporting company until the beginning of a year in which we had a public float of $250 million held by non-affiliates or revenues below $100 million and a public float below $700 million, in each case as determined as of the last business day of the second quarter of the prior year.</w:t>
      </w:r>
    </w:p>
    <w:p>
      <w:pPr>
        <w:spacing w:after="0" w:line="1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Our Common Stock is Subject to the </w:t>
      </w:r>
      <w:r>
        <w:rPr>
          <w:rFonts w:ascii="Arial" w:cs="Arial" w:eastAsia="Arial" w:hAnsi="Arial"/>
          <w:sz w:val="18"/>
          <w:szCs w:val="18"/>
          <w:color w:val="auto"/>
        </w:rPr>
        <w:t>“</w:t>
      </w:r>
      <w:r>
        <w:rPr>
          <w:rFonts w:ascii="Arial" w:cs="Arial" w:eastAsia="Arial" w:hAnsi="Arial"/>
          <w:sz w:val="18"/>
          <w:szCs w:val="18"/>
          <w:b w:val="1"/>
          <w:bCs w:val="1"/>
          <w:color w:val="auto"/>
        </w:rPr>
        <w:t>Penny Stock</w:t>
      </w:r>
      <w:r>
        <w:rPr>
          <w:rFonts w:ascii="Arial" w:cs="Arial" w:eastAsia="Arial" w:hAnsi="Arial"/>
          <w:sz w:val="18"/>
          <w:szCs w:val="18"/>
          <w:color w:val="auto"/>
        </w:rPr>
        <w:t>”</w:t>
      </w:r>
      <w:r>
        <w:rPr>
          <w:rFonts w:ascii="Arial" w:cs="Arial" w:eastAsia="Arial" w:hAnsi="Arial"/>
          <w:sz w:val="18"/>
          <w:szCs w:val="18"/>
          <w:b w:val="1"/>
          <w:bCs w:val="1"/>
          <w:color w:val="auto"/>
        </w:rPr>
        <w:t xml:space="preserve"> Rules of the SEC and the Trading Market in our Securities is Limited, Which Makes Transactions in Our Stock Cumbersome and May Reduce the Value of an Investment in Our Stock.</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Securities and Exchange Commission has adopted Rule 15g-9 which establishes the definition of a “penny stock,” for the purposes relevant to us, as any equity security that has a market price of less than $5.00 per share or with an exercise price, for warrants or options or conversion price for convertible notes, of less than $5.00 per share, subject to certain exceptions. For any transaction involving a penny stock, unless exempt, the rules require: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8, 2013, we purchased a building and property located at 28411 Race Track Road, Bonita Springs, Florida 34135. The property consists of approximately 1.1 acres of land and close to 10,000 square feet of combined office and warehouse space. The purchase price of the property was $770,000 and was financed in part by a five year mortgage in the amount of $546,000. In March 2018, the remaining balance under this mortgage was extended to February 28, 2023. The company relocated all of its Florida-based office and warehouse facilities into this facility on July 15, 2013.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14, 2015, we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and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proprietary private label product lines as well as packing of organic, non GMO, diet specific and other specialty foods. The test kitchen, packaging room and additional improvements were financed by a loan from Fifth Third Bank.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2021 was $9,400,000. Related to the Facility purchase, the Company entered into a commercial loan agreement for both the purchase price and planned improvements to the Facility. The amount of the loan was $5,500,000, of which the Company drew down $3,600,000 for the acquisition of the Facility; the lender was Fifth Third Bank and the loan is secured by a mortgage on the property and other Company assets. The interest on the loan is LIBOR plus 2.75%, with interest only payments due through September 30, 2020, thereafter with principal amortized over 20 years and maturity on September 2, 2025. Related to Facility purchase, the Company also acquired certain leases from certain tenants of the Facility, all of which were in good standing at the time of purchase.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5, 2020, the Company completed work to upgrade the Facility at a cost of $2,231,458 in order to better support the Company’s focus on e-commerce and logistics.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employed by Innovative 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tendered) and umbrella policy that covers one of the Company’s subsidiaries, we intend to further aggressively pursue the Company’s and its subsidiaries’ insurance coverage under their umbrella and other available policies. The Company has brought an action for declaratory judgement against one of the insurance companies under which it had an umbrella policy so that the court can compel it to provide liability coverage. In addition, the Company has been defending this action and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pending legal proceeding against the driver in connection with the events related to the case. It is not anticipated that the Company and its subsidiaries will be a party to any other legal proceedings in connection with this matter.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Prices for our common stock are quoted on the OTCQB. Since March 2004, our common stock has traded under the symbol “IVFH”. Prior thereto, our common stock traded under the symbol “FBSN”. 35,371,480 shares of our common stock were outstanding as of April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15, 2021, there were approximately 56 record holders of our common stock. In addition, we believe there are at least several hundred additional beneficial owners of our common stock whose shares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and Other Issuances of Our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Company had the following equity related, nonregistered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29, 2020, the Company issued 38,943 shares of common stock with a fair value of $17,135 to an employee as a bonus.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January 10, 2020, the Company issued 2,381 shares of common stock with a fair value of $1,119 to a service provider as payment for services.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2021, the Company issued an additional 2,381 shares of common stock with a fair value of $1,167 to a service provider as payment for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accrued the amount of $276,387 representing 775,748 shares of common stock issuable at an average price of $0.356 per share to its Chief Executive Officer pursuant to his compensation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the Company accrued the amount of $17,116 representing 38,892 shares of common stock issuable at an average price of $0.44 per share to its Chief Strategy Officer pursuant to his compensation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accrued the amount of $35,000 to each of two directors (a total of $70,000) representing 69,928 shares of common stock issuance to each director (a total of 139,856 shares) pursuant to their service agreements.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as of December 31, 2020:</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Exercise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3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Price</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14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10"/>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1,050,000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
        </w:trPr>
        <w:tc>
          <w:tcPr>
            <w:tcW w:w="1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2,250,000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2019</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as of December 31, 2019:</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Exercise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13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Price</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60" w:type="dxa"/>
            <w:vAlign w:val="bottom"/>
          </w:tcPr>
          <w:p>
            <w:pPr>
              <w:spacing w:after="0"/>
              <w:rPr>
                <w:sz w:val="20"/>
                <w:szCs w:val="20"/>
                <w:color w:val="auto"/>
              </w:rPr>
            </w:pPr>
          </w:p>
        </w:tc>
      </w:tr>
      <w:tr>
        <w:trPr>
          <w:trHeight w:val="210"/>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950,000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40" w:type="dxa"/>
            <w:vAlign w:val="bottom"/>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0"/>
        </w:trPr>
        <w:tc>
          <w:tcPr>
            <w:tcW w:w="1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340" w:type="dxa"/>
            <w:vAlign w:val="bottom"/>
            <w:shd w:val="clear" w:color="auto" w:fill="CCEEFF"/>
          </w:tcPr>
          <w:p>
            <w:pPr>
              <w:jc w:val="right"/>
              <w:ind w:right="118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2,525,000</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0"/>
        </w:trPr>
        <w:tc>
          <w:tcPr>
            <w:tcW w:w="1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2020, the following shares are issuable pursuant to outstanding stock options, warrants, and rights issued under the 2011 Stock Option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Number of securities to</w:t>
            </w:r>
          </w:p>
        </w:tc>
        <w:tc>
          <w:tcPr>
            <w:tcW w:w="80" w:type="dxa"/>
            <w:vAlign w:val="bottom"/>
          </w:tcPr>
          <w:p>
            <w:pPr>
              <w:spacing w:after="0"/>
              <w:rPr>
                <w:sz w:val="18"/>
                <w:szCs w:val="18"/>
                <w:color w:val="auto"/>
              </w:rPr>
            </w:pP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Weighted-average</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 issued upon exercise</w:t>
            </w:r>
          </w:p>
        </w:tc>
        <w:tc>
          <w:tcPr>
            <w:tcW w:w="80" w:type="dxa"/>
            <w:vAlign w:val="bottom"/>
          </w:tcPr>
          <w:p>
            <w:pPr>
              <w:spacing w:after="0"/>
              <w:rPr>
                <w:sz w:val="18"/>
                <w:szCs w:val="18"/>
                <w:color w:val="auto"/>
              </w:rPr>
            </w:pP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outstanding options,</w:t>
            </w:r>
          </w:p>
        </w:tc>
        <w:tc>
          <w:tcPr>
            <w:tcW w:w="80" w:type="dxa"/>
            <w:vAlign w:val="bottom"/>
          </w:tcPr>
          <w:p>
            <w:pPr>
              <w:spacing w:after="0"/>
              <w:rPr>
                <w:sz w:val="18"/>
                <w:szCs w:val="18"/>
                <w:color w:val="auto"/>
              </w:rPr>
            </w:pP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outstanding options,</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reflected in column</w:t>
            </w:r>
          </w:p>
        </w:tc>
      </w:t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warrants and rights</w:t>
            </w:r>
          </w:p>
        </w:tc>
        <w:tc>
          <w:tcPr>
            <w:tcW w:w="80" w:type="dxa"/>
            <w:vAlign w:val="bottom"/>
          </w:tcPr>
          <w:p>
            <w:pPr>
              <w:spacing w:after="0"/>
              <w:rPr>
                <w:sz w:val="20"/>
                <w:szCs w:val="20"/>
                <w:color w:val="auto"/>
              </w:rPr>
            </w:pPr>
          </w:p>
        </w:tc>
        <w:tc>
          <w:tcPr>
            <w:tcW w:w="2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warrants, and rights</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w:t>
            </w:r>
          </w:p>
        </w:tc>
      </w:tr>
      <w:tr>
        <w:trPr>
          <w:trHeight w:val="210"/>
        </w:trPr>
        <w:tc>
          <w:tcPr>
            <w:tcW w:w="5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93,580,000</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3"/>
          </w:tcPr>
          <w:p>
            <w:pPr>
              <w:ind w:left="1380"/>
              <w:spacing w:after="0"/>
              <w:rPr>
                <w:sz w:val="20"/>
                <w:szCs w:val="20"/>
                <w:color w:val="auto"/>
              </w:rPr>
            </w:pPr>
            <w:r>
              <w:rPr>
                <w:rFonts w:ascii="Arial" w:cs="Arial" w:eastAsia="Arial" w:hAnsi="Arial"/>
                <w:sz w:val="18"/>
                <w:szCs w:val="18"/>
                <w:color w:val="auto"/>
              </w:rPr>
              <w:t>N/A   $</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raise capital necessary to sustain our anticipated operations and implement our business plan,</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implement our business plan,</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generate sufficient cash to pay our lenders and other creditors,</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Our dependence on one major customer,</w:t>
      </w:r>
    </w:p>
    <w:p>
      <w:pPr>
        <w:spacing w:after="0" w:line="234"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employ and retain qualified management and employees,</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dependence on the efforts and abilities of our current employees and executive officers,</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Changes in government regulations that are applicable to our current or anticipated business,</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demand for our services and different food trends,</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degree and nature of our competition,</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lack of diversification of our business plan,</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The general volatility of the capital markets and the establishment of a market for our shares, and</w:t>
      </w:r>
    </w:p>
    <w:p>
      <w:pPr>
        <w:spacing w:after="0" w:line="222"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pandemic, political and economic events and environmental weather conditions.</w:t>
      </w:r>
    </w:p>
    <w:p>
      <w:pPr>
        <w:spacing w:after="0" w:line="184" w:lineRule="exact"/>
        <w:rPr>
          <w:sz w:val="20"/>
          <w:szCs w:val="20"/>
          <w:color w:val="auto"/>
        </w:rPr>
      </w:pPr>
    </w:p>
    <w:p>
      <w:pPr>
        <w:sectPr>
          <w:pgSz w:w="11900" w:h="16838" w:orient="portrait"/>
          <w:cols w:equalWidth="0" w:num="2">
            <w:col w:w="1400" w:space="720"/>
            <w:col w:w="9120"/>
          </w:cols>
          <w:pgMar w:left="320" w:top="125"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Securities and Exchange Commission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warrants outstanding at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Embedded conversion features of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convertible notes outstanding at December 31, 2020 and 2019:</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and option assumptions at December 31, 2020 and 2019:</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outstanding</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2,525,000</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Value at December 31</w:t>
            </w: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issued during the year</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1,850,000</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Value of options issued during the year</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16,498</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409,430</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recognized during the year</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1,850,000</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Number of options exercised or expired during the year</w:t>
            </w: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475,000</w:t>
            </w:r>
          </w:p>
        </w:tc>
        <w:tc>
          <w:tcPr>
            <w:tcW w:w="4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375,000</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options recognized during the year</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142,512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157,145</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Revaluation (gain) during the period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5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Black-Scholes model variables: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41.7-82.7%</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59.38-63.16%</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0.37-1.37%</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1.79-2.49%</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3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3.00-5.00</w:t>
            </w:r>
          </w:p>
        </w:tc>
        <w:tc>
          <w:tcPr>
            <w:tcW w:w="4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3.00-4.93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Doubtful Accounts Receivable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maintained an allowance in the amount of $343,832 for doubtful accounts receivable at December 31, 2020, and $95,284 at December 31, 2019.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 history of losses, and as such has recorded no liability for income taxes. Until such time as the Company begins to provide evidence that a continued profit is a reasonable expectation, management will not determine that there is a basis for accruing an income tax liability. These estimates have been accurate in the past. At December 31, 2020, the Company has a net operating loss carryforward of approximately $11,473,000.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shares of our common stock.</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 On June 30, 2014, pursuant to a purchase agreement, the Company purchased 100% of the membership interest of Organic Food Brokers, LLC, a Colorado limited liability company (“OFB”), for $300,000, 100,000 four year options at a price of $1.46 per share, and up to an additional $225,000 in earn-outs if certain milestones are met. Pursuant to an Asset Purchase Agreement dated as of January 1, 2017 the Company’s wholly-owned subsidiary, Oasis Sales Corp.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15, 2014, pursuant to a merger agreement, the Company acquired The Fresh Diet, Inc. (“FD”). Effective February 23, 2016, the Company closed a transaction to sell 90% of our ownership in FD for consideration consisting primarily of a restructuring of our loans, which includes the ability to convert to additional amounts of FD under certain circumstances. There is no continuing cash inflows or outflows from or to the discontinued operations.</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January 24, 2018, pursuant to an asset acquisition agreement (the “igourmet Asset Acquisition Agreement”), our wholly-owned subsidiary, Innovative Gourmet, LLC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LLC (“Food Funding”), funded advances of $325,000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2019 and 2020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pursuant to an asset purchase agreement between Mouth Foods, Inc. (“Mouth”) and our wholly-owned subsidiary M Innovations LLC (“M Innovations”)(the “MFI APA”), the Company acquired certain assets of Mouth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under the heading Major Customer in Note 19 to the Consolidated Financial Statements, and (3) in Business – Relationship with U.S. Foods, and (4) as the second item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decreased by $6,226,938 or approximately 10.8% to $51,676,028 for the year ended December 31, 2020 from $57,902,966 prior year. The decrease in revenue is primarily attributable to a decrease in specialty foodservice revenues which was driven by the nationwide closures of restaurants and other foodservice establishments related to COVID-19. The decline in specialty foodservice was partially offset with revenues increases mainly associated with e-commerce. The increases in e-commerce revenues were driven by the Company’s ability to increase sales at its e-commerce properties and convert significant shifts in e-commerce specialty food, supermarket trends, and e-commerce grocery trends, driven initially by the COVID-19 pandemic, into e-commerce revenues.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cost of goods sold for the year ended December 31, 2020 was $37,859,500, a decrease of $3,395,576 or approximately 8.2% compared to cost of goods sold of $41,255,076 for the year ended December 31, 2019. Cost of goods sold was made up of the following expenses for the year ended December 31, 2020: cost of goods of specialty, meat, game, cheese, seafood, poultry and other sales categories in the amount of $24,092,859; shipping, delivery, handling, and purchase allowance expenses in the amount of $13,072,457; and cost of goods associated with logistics of $694,184. Total gross margin was approximately 27% of sales in 2020 compared to approximately 29% of sales in 2019. The decrease in gross margins from 2019 is primarily attributable to variation in product and revenue mix across our various selling channels including a decrease in higher gross margin revenues associated with National Brand Management and lower gross margins associated with foodservice revenues including revenue and margin variations driven by the COVID-19 pandemic.</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continued to price our products in order to gain market share and increase the number of our end users and ecommerce customers. We currently expect, if market conditions and our product revenue mix remain constant, that our cost of goods sold may increase and our gross margin decrease.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general, and administrative expenses increased by $3,067,690 or approximately 18.6% to $19,531,818 during the year ended December 31, 2020 compared to $16,464,128 for the year ended December 31, 2019. The increase in selling, general, and administrative expenses was primarily due to an increase in advertising and marketing costs of $1,370,345, increases in payroll and related costs of approximately $1,386,169 (net of an increase in non-cash compensation in the amount of $111,258), an increase in IT and computer costs of $210,456, an increase in insurance costs of $176,485 an increase in banking and credit card fees of $272,364, an increase in bad debt expense of $218,862, , an increase in office, facilities, and vehicles costs $133,842, and an increase in taxes of $98,290. These increases were partially offset by a decrease in amortization and depreciation of $530,157 and a decrease in professional fees of $25,048. The increases were driven mainly by additional costs including increases in costs including warehouse fulfillment costs associated with COVID-19, increased costs associated with additional personnel mainly related to warehouse operations, overall employee costs and insurance costs, increased legal, accounting, facility and IT costs including costs associated with the planned launch of new websites, and increased advertising associated with increased spending in digital marketing related to certain of the Company’s e-commerce websites.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year-ended December 31, 2020, the Company performed impairment tests of our goodwill and intangible assets that incorporated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tests, the Company was required by applicable accounting rules to record an impairment of goodwill and intangible assets in the aggregate amount of $1,698,952. At December 31, 2020, the net carrying value of goodwill and other intangible assets on the Company’s balance sheet is $1,633,202. There was no such comparable charge during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8, 2019 the Company purchased a logistics and warehouse facility located in Mountain Top, Pennsylvania. During the year ended December 31, 2020, the Company recognized revenue in the amount of $43,810 in connection with the lease of space in this facility compared to $3,125 during the year ended December 31, 2019. The increase was due to the Company recognizing a full year of activity during 2020 compared to the period from November 8, 2019 to December 31, 2019 during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settlement of contingent liabilities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2019, the Company recorded a gain on settlement of contingent liabilities in the amount of $132,300 in connection with potential additional consideration under the igourmet Asset Purchase Agreement. There was no comparable transaction during the current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disposal of fixed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recorded a gain on the sale of warehouse equipment in the amount of $7,984, compared to a gain on sale of equipment of $12,495 during the prior period. This type of transaction occurs infrequently.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of interest income, increased by $193,661 or approximately 177.8% to $302,576 during the year ended December 31, 2020, compared to $108,915 during the year ended December 31, 2019. The increase was due primarily to an increase in interest accrued or paid on the Company’s commercial loans and notes payable in the amount of $182,640 from $114,257 during the year ended December 31, 2019 to $296,897 during the year ended December 31, 2020. The Company also recorded interest expense in connection with the amortization of prepaid loan fees in the amount of $12,560 during the year ended December 31, 2020 compared to $1,819 during the prior period, an increase of $10,741. Interest income was $6,831 during the year ended December 31, 2020, a decrease of $330 compared to interest income of $7,161 during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reasons above, the Company had a net loss for the year ended December 31, 2020 of $7,665,024 compared to a net income of $222,767 during the year ended December 31, 2019. The loss for the year ended December 31, 2020 includes a total of $3,159,751 in non-cash charges, including impairment of intangible assets in amount of $1,698,952; amortization of intangible assets in the amount of $212,902; depreciation expense of $491,039; charges for non-cash compensation in the amount of $525,436; and amortization of prepaid loan fees of $12,560. The income for the year ended December 31, 2019 includes a total of $1,650,096 in non-cash charges, including amortization of intangible assets in the amount of $899,757, depreciation expense of $334,342, charges for non-cash compensation in the amount of $414,178, and amortization of prepaid loan fees of $1,819.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December 31,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had current assets of $11,446,921, consisting of cash and cash equivalents of $5,060,015; trade accounts receivable of $2,380,305; inventory of $3,719,786; and other current assets of $286,815. Also at December 31, 2020, the Company had current liabilities of $12,207,022, consisting of trade payables and accrued liabilities of $5,098,523, accrued interest of $28,873, deferred revenue of $2,917,676, line of credit of $2,000,000, current portion of notes payable (net of discount) of $1,741,571, current portion of operating leases of $87,375, current portion of financing leases of $146,004, and current portion of contingent liabilities of $187,000.</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 ended December 31, 2020, the Company had cash used in operating activities of $1,759,883. Cash flow used in operations consisted of the Company’s consolidated net loss of $7,665,024 subtracted by impairment of intangible assets of $1,698,952, depreciation and amortization of $703,941, non-cash compensation in the amount of $525,436, amortization of right-of-use assets of $161,926, provision for doubtful accounts of $254,899, and amortization of prepaid loan fees in the amount of $12,560. These amounts were partially offset by a gain on the disposition of fixed assets in the amount of $7,984. The Company’s cash position increased by $2,555,411 as a result of changes in the components of current assets and current liabilities.</w:t>
      </w:r>
    </w:p>
    <w:p>
      <w:pPr>
        <w:spacing w:after="0" w:line="16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had cash used in investing activities of $450,387 for the year ended December 31, 2020, which consisted of cash paid for the acquisition of property and equipment in the amount of $431,137, and cash paid for the acquisition of intangible assets in the amount of $19,250.</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cash provided by financing activities of $3,304,235 for the year ended December 31, 2020, which consisted of proceeds for a line of credit in the amount of $2,000,000 and proceeds from a PPP loan in the amount of $1,650,221; these amounts were partially offset by principal payments on loans and notes payable in the amount of $278,668 and principal payments on financing leases in the amount of $67,318. The Company currently anticipates that up to 100% of this PPP loan will be eligible for government forgiveness under the PPP program, although there is no assurance of such eligibility.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net working capital deficit of $760,101 as of December 31, 2020. The Company had cash used in operations during the year ended December 31, 2020 in the amount of $1,759,883. This compares to cash generated from operating activities of $1,594,647 during the year ended December 31, 2019. The Company intends to continue to focus on increasing market share and cash flow from operations by focusing its sales activities on specific market segments and new product lines. Currently, we do not have any material long-term obligations other than those described in Notes 12, 13 and 14 to the financial statements included in this report. As we seek to increase our sales of new items and enter new markets, acquire new businesses as well as identify new food oriented products and services, we may use existing cash reserves, long-term financing, or other means to finance such diversification, although no assurance can be given that such growth will occur.</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2020 began we put together a plan which we expected to try to implement in 2020. Those plans are described in the paragraphs below. However, in the interim period since those plans were prepared, as described above in “Business – Growth Strategy”, “Risk Factors” and elsewhere in this Report, in 2020 the world has been in the grip of a pandemic which has wreaked havoc on economies world-wide, including in the U.S., which is our primary market. As a result of the pandemic, restaurants, hotels, country clubs, casinos, catering houses and other of our primary customers have either been closed completely or are only partially open with significantly reduced operations. Accordingly, Foodservice revenues, which historically have been a significant overall portion of our revenues have been significantly reduced as most foodservice establishments cross the United States closed or had limited operations. As a result, Foodservice revenue commencing in the second half of March 2020 and continuing throughout the year experienced unprecedented declines.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Conversely, we have experienced significant growth in our on-line e-commerce revenues as overall e-commerce grew and as demand for food products continued across the United States. Accordingly, we have focused our resources on meeting the growth of e-commerce revenues. While the percentage increase in e-commerce revenues was strong, the additional e-commerce revenues did not exceed the decrease in foodservice revenues commencing in the second half of March 2020 and continuing throughout the year and overall revenues and profits declined for that time frame.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2020 we applied for and received a loan of approximately $1.6 million under a program established under a recent congressionally approved program which is administered by the U.S. Small Business Administration. In 2021 we applied for and received $1,748,414 in new loans under a similar government program administered by the U.S. Small Business Administration. In addition, between the government loans, the potential forgiveness of the government loans, cash on hand and our current expectations of incoming revenues, we believe we have sufficient resources to continue operating for at least the next 12 months. However, as we cannot predict at this time when quarantines, curfews, stay in place orders, and closures of non-essential businesses will end and general economic activity will resume, we cannot predict when our business will return to its pre-pandemic norms and the amount of economic stress we would experience. While we intend to continue to focus on executing on our strategic growth plans, given the current economic conditions, we are not able to determine the exact timeframe in 2021, if at all, that we can then again consider fully implementing portions of the plans described below.</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we plan to attempt to expand our business by expanding our focus to additional specialty foods markets. In addition, we will continue exploring potential acquisition and partnership opportunities and continue to extend our focus in the specialty food market through the growth of the Company’s existing sales channels and through a variety of additional potential sales channel relationships. In addition, we are currently exploring the introduction of, or have introduced into the market, a variety of new product categories and new product lines, including private label products and proprietary branded products to leverage our existing foodservice and consumer customer base.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the Company intends to continue to expand its activities in the direct to consumer space and the overall consumer packaged goods (CPG) space through leveraging the assets acquired from igourmet LLC and Mouth Foods, Inc. and through leveraging its overall capabilities in the consumer space, including leveraging its direct to consumer e-commerce capabilities to reach both additional customers in multiple channels, and to expand availability of its e-commerce capabilities to additional products and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that they will necessarily yield positive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inflation has not had a material effect on the Company’s financial condition or results of its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largest customer, U.S. Foods, Inc. and its affiliates, accounted for approximately 40% and 57% of total sales in each of the years ended December 31, 2020 and 2019; and approximately 32% of total sales in the fourth quarter of 2020 compared to 50% of total sales in the fourth quarter of 2019. A contract between our subsidiary, Food Innovations, and USF entered an optional renewal period in December 2012 but was automatically extended for an additional 12 months in each of January 1, 2013 and 2014. On January 26, 2015 we executed a contract directly between Food Innovations, Inc., our wholly-owned subsidiary, and U.S. Foods, Inc. The term of the Agreement was from January 1, 2015 through December 31, 2016 and provided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Innovative Food Holdings, Inc. and Subsidiaries (the “Company”) as of December 31, 2020 and 2019, the related consolidated statements of operations, changes in stockholders’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controls over financial reporting. Accordingly, we express no such opinion.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consolidated financial statement presentation.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 Amortizable and Unamortizable 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9 to the consolidated financial statements, these assets are evaluated for impairment at least annually using valuation techniques to estimate fair value. The adverse impact of COVID-19 pandemic to the Company’s foodservice customer base was a triggering event and accordingly, the Company performed the impairment tests during the first quarter of 2020. The Company engaged a valuation specialist to assist in evaluating the fair values of these assets. These fair value estimates are sensitive to certain significant assumptions including future revenues, growth rates which take into account estimated inflation rates, estimates of future levels of gross profit and operating profit, projected capital expenditures and discount rates based upon industry and competitor analyses used by the valuation specialist.</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Auditing management’s goodwill, amortizable and unamortizable intangible assets impairment tests was highly judgmental due to the significant assumptions used by management and the valuation methodologies used the valuation specialist in determining the fair values of these assets.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test the estimated fair values of the goodwill, amortizable and unamortizable intangible assets, we performed audit procedures that included, among others, evaluating the methodologies used in the valuation model and the significant assumptions used by the Company and the valuation specialist.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18 to the consolidated financial statements, the Company is involved in a number of legal proceedings and has made accruals with respect to certain of these matters. Where a liability is reasonably possible and may be material, such matters have been disclosed. Management exercised judgment and assessed the probability of occurrence based on the ability to predict the number of claims that may be filed and whether it can reasonably estimate any loss or range of loss that may arise from that proceeding.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Auditing management’s accounting for, and disclosure of, loss contingencies was highly judgmental as it involved our assessment of the significant judgments made by management when assessing the probability of occurrence or when determining whether an estimate of the loss or range of loss could be made.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test the Company’s assessment of the probability of occurrence or determination of an estimate of loss, or range of loss, among other procedures, we read the legal documentations, reviewed opinions provided to the Company by certain outside legal counsel, read letters received directly by us from external counsel, and evaluated the current status of contingencies based on discussions with legal counsel. We also evaluated the appropriateness of the related disclosures.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Liggett &amp; Webb,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LIGGETT &amp; WEBB,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Boynton Beach,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20" w:type="dxa"/>
            <w:vAlign w:val="bottom"/>
            <w:tcBorders>
              <w:top w:val="single" w:sz="8" w:color="0000EE"/>
            </w:tcBorders>
          </w:tcPr>
          <w:p>
            <w:pPr>
              <w:spacing w:after="0"/>
              <w:rPr>
                <w:sz w:val="24"/>
                <w:szCs w:val="24"/>
                <w:color w:val="auto"/>
              </w:rPr>
            </w:pPr>
          </w:p>
        </w:tc>
        <w:tc>
          <w:tcPr>
            <w:tcW w:w="758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Innovative Food Holdings,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580" w:type="dxa"/>
            <w:vAlign w:val="bottom"/>
          </w:tcPr>
          <w:p>
            <w:pPr>
              <w:jc w:val="center"/>
              <w:ind w:left="273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80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5,060,015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3,966,050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2,380,305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3,309,830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3,719,786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2,350,622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11,446,921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8,550,401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6,645,389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496,575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435,225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Right of use assets, operating leases,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193,733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Right of use assets, finance leases,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776,439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174,631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amortizable intangible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1,342,741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Goodwill and other unamortizable intangible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23,150,275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5,098,523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4,009,956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2,917,676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499,776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Line of Credit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 net of discount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1,741,571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727,766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Lease liability - operating leases, current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87,375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133,296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liability - finance leases, current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Contingent liability - current portion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12,207,022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5,604,599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liability - operating leases, non-current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Lease liability - finance leases, non-current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638,137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154,905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Contingent liability - long-term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Note payable - long term portion, net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19,272,466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9,857,578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&amp; Contingencies (see note 18)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Common stock: $0.0001 par value; 500,000,000 shares authorized; 38,209,060 and 37,210,859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w w:val="94"/>
              </w:rPr>
              <w:t>issued, and 35,371,480 and 34,373,279 shares outstanding at December 31, 2020 and December 31,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2019,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37,415,155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36,889,818</w:t>
            </w:r>
          </w:p>
        </w:tc>
        <w:tc>
          <w:tcPr>
            <w:tcW w:w="0" w:type="dxa"/>
            <w:vAlign w:val="bottom"/>
          </w:tcPr>
          <w:p>
            <w:pPr>
              <w:spacing w:after="0"/>
              <w:rPr>
                <w:sz w:val="1"/>
                <w:szCs w:val="1"/>
                <w:color w:val="auto"/>
              </w:rPr>
            </w:pP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Treasury stock: 2,623,171 and 2,623,171 shares outstanding at December 31, 2020 and December 31,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2019, respectively.</w:t>
            </w: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(1,141,370)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(1,141,370)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(32,399,793)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(24,734,769)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3,877,809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11,017,397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23,150,275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580" w:type="dxa"/>
            <w:vAlign w:val="bottom"/>
            <w:vMerge w:val="restart"/>
          </w:tcPr>
          <w:p>
            <w:pPr>
              <w:jc w:val="center"/>
              <w:ind w:left="2750"/>
              <w:spacing w:after="0"/>
              <w:rPr>
                <w:sz w:val="20"/>
                <w:szCs w:val="20"/>
                <w:color w:val="auto"/>
              </w:rPr>
            </w:pPr>
            <w:r>
              <w:rPr>
                <w:rFonts w:ascii="Arial" w:cs="Arial" w:eastAsia="Arial" w:hAnsi="Arial"/>
                <w:sz w:val="18"/>
                <w:szCs w:val="18"/>
                <w:color w:val="auto"/>
                <w:w w:val="88"/>
              </w:rPr>
              <w:t>See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jc w:val="center"/>
              <w:ind w:left="3170"/>
              <w:spacing w:after="0"/>
              <w:rPr>
                <w:sz w:val="20"/>
                <w:szCs w:val="20"/>
                <w:color w:val="auto"/>
              </w:rPr>
            </w:pPr>
            <w:r>
              <w:rPr>
                <w:rFonts w:ascii="Arial" w:cs="Arial" w:eastAsia="Arial" w:hAnsi="Arial"/>
                <w:sz w:val="18"/>
                <w:szCs w:val="18"/>
                <w:color w:val="auto"/>
                <w:w w:val="89"/>
              </w:rPr>
              <w:t>32</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4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45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Innovative Food Holdings, Inc.</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5"/>
        </w:trPr>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51,676,028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57,902,966</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37,859,500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41,255,076</w:t>
            </w:r>
          </w:p>
        </w:tc>
        <w:tc>
          <w:tcPr>
            <w:tcW w:w="100" w:type="dxa"/>
            <w:vAlign w:val="bottom"/>
          </w:tcPr>
          <w:p>
            <w:pPr>
              <w:spacing w:after="0"/>
              <w:rPr>
                <w:sz w:val="18"/>
                <w:szCs w:val="18"/>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13,816,528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16,647,890</w:t>
            </w:r>
          </w:p>
        </w:tc>
      </w:tr>
      <w:tr>
        <w:trPr>
          <w:trHeight w:val="216"/>
        </w:trPr>
        <w:tc>
          <w:tcPr>
            <w:tcW w:w="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19,531,818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16,464,128</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p>
        </w:tc>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21,230,770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16,464,128</w:t>
            </w:r>
          </w:p>
        </w:tc>
      </w:tr>
      <w:tr>
        <w:trPr>
          <w:trHeight w:val="216"/>
        </w:trPr>
        <w:tc>
          <w:tcPr>
            <w:tcW w:w="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(7,414,242)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183,762</w:t>
            </w:r>
          </w:p>
        </w:tc>
      </w:tr>
      <w:tr>
        <w:trPr>
          <w:trHeight w:val="216"/>
        </w:trPr>
        <w:tc>
          <w:tcPr>
            <w:tcW w:w="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Other leasing income</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43,810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settlement of contingent liability</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132,300</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Gain on sale of fixed assets</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12,495</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(108,915)</w:t>
            </w:r>
          </w:p>
        </w:tc>
      </w:tr>
      <w:tr>
        <w:trPr>
          <w:trHeight w:val="20"/>
        </w:trPr>
        <w:tc>
          <w:tcPr>
            <w:tcW w:w="4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Total other income (expense)</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39,005</w:t>
            </w:r>
          </w:p>
        </w:tc>
      </w:tr>
      <w:tr>
        <w:trPr>
          <w:trHeight w:val="216"/>
        </w:trPr>
        <w:tc>
          <w:tcPr>
            <w:tcW w:w="4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(loss) income before taxes</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(7,665,024)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222,767</w:t>
            </w:r>
          </w:p>
        </w:tc>
      </w:tr>
      <w:tr>
        <w:trPr>
          <w:trHeight w:val="216"/>
        </w:trPr>
        <w:tc>
          <w:tcPr>
            <w:tcW w:w="4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Provision for Income tax expense</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(7,665,024)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222,767</w:t>
            </w: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(loss) income per share - basic</w:t>
            </w:r>
          </w:p>
        </w:tc>
        <w:tc>
          <w:tcPr>
            <w:tcW w:w="4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4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34,871,785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34,116,335</w:t>
            </w: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w w:val="97"/>
              </w:rPr>
              <w:t>Weighted average shares outstanding - diluted</w:t>
            </w:r>
          </w:p>
        </w:tc>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34,871,785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34,116,335</w:t>
            </w:r>
          </w:p>
        </w:tc>
        <w:tc>
          <w:tcPr>
            <w:tcW w:w="1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2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See notes to consolidated financial statements.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jc w:val="center"/>
              <w:ind w:right="290"/>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420" w:type="dxa"/>
            <w:vAlign w:val="bottom"/>
            <w:tcBorders>
              <w:top w:val="single" w:sz="8" w:color="0000EE"/>
            </w:tcBorders>
          </w:tcPr>
          <w:p>
            <w:pPr>
              <w:spacing w:after="0"/>
              <w:rPr>
                <w:sz w:val="24"/>
                <w:szCs w:val="24"/>
                <w:color w:val="auto"/>
              </w:rPr>
            </w:pPr>
          </w:p>
        </w:tc>
        <w:tc>
          <w:tcPr>
            <w:tcW w:w="7580" w:type="dxa"/>
            <w:vAlign w:val="bottom"/>
          </w:tcPr>
          <w:p>
            <w:pPr>
              <w:ind w:left="4020"/>
              <w:spacing w:after="0"/>
              <w:rPr>
                <w:sz w:val="20"/>
                <w:szCs w:val="20"/>
                <w:color w:val="auto"/>
              </w:rPr>
            </w:pPr>
            <w:r>
              <w:rPr>
                <w:rFonts w:ascii="Arial" w:cs="Arial" w:eastAsia="Arial" w:hAnsi="Arial"/>
                <w:sz w:val="18"/>
                <w:szCs w:val="18"/>
                <w:b w:val="1"/>
                <w:bCs w:val="1"/>
                <w:color w:val="auto"/>
              </w:rPr>
              <w:t>Innovative Food Holdings,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7580" w:type="dxa"/>
            <w:vAlign w:val="bottom"/>
          </w:tcPr>
          <w:p>
            <w:pPr>
              <w:ind w:left="3640"/>
              <w:spacing w:after="0"/>
              <w:rPr>
                <w:sz w:val="20"/>
                <w:szCs w:val="20"/>
                <w:color w:val="auto"/>
              </w:rPr>
            </w:pPr>
            <w:r>
              <w:rPr>
                <w:rFonts w:ascii="Arial" w:cs="Arial" w:eastAsia="Arial" w:hAnsi="Arial"/>
                <w:sz w:val="18"/>
                <w:szCs w:val="18"/>
                <w:b w:val="1"/>
                <w:bCs w:val="1"/>
                <w:color w:val="auto"/>
              </w:rPr>
              <w:t>Consolidated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5"/>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(7,665,024)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222,767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intangible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1,698,952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703,941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1,234,098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187,254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prepaid loan fees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414,178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Gain on settlement of contingent liability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(132,300)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254,899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36,037</w:t>
            </w:r>
          </w:p>
        </w:tc>
      </w:tr>
      <w:tr>
        <w:trPr>
          <w:trHeight w:val="216"/>
        </w:trPr>
        <w:tc>
          <w:tcPr>
            <w:tcW w:w="4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(366,611)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Inventory and other current assets, net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(1,443,640)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(153,633)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414,326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2,417,900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(59,539)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Contingent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(161,926)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(187,254)</w:t>
            </w:r>
          </w:p>
        </w:tc>
      </w:tr>
      <w:tr>
        <w:trPr>
          <w:trHeight w:val="20"/>
        </w:trPr>
        <w:tc>
          <w:tcPr>
            <w:tcW w:w="4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(1,759,883)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1,594,647</w:t>
            </w:r>
          </w:p>
        </w:tc>
      </w:tr>
      <w:tr>
        <w:trPr>
          <w:trHeight w:val="210"/>
        </w:trPr>
        <w:tc>
          <w:tcPr>
            <w:tcW w:w="4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paid for website development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received from the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(431,137)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(1,049,604)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Investment in food related company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(60,200)</w:t>
            </w:r>
          </w:p>
        </w:tc>
      </w:tr>
      <w:tr>
        <w:trPr>
          <w:trHeight w:val="20"/>
        </w:trPr>
        <w:tc>
          <w:tcPr>
            <w:tcW w:w="4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(1,181,309)</w:t>
            </w:r>
          </w:p>
        </w:tc>
      </w:tr>
      <w:tr>
        <w:trPr>
          <w:trHeight w:val="209"/>
        </w:trPr>
        <w:tc>
          <w:tcPr>
            <w:tcW w:w="4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Sales of common stock</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acquisition of treasury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Loan fees related to building acquisition financing</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(72,916)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in settlement of contingent liabilities in connection with acquisitions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(350,576)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line of credit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Payroll Protection Plan Loan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Principal payments on debt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(278,668)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(880,752)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financing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(27,861)</w:t>
            </w:r>
          </w:p>
        </w:tc>
      </w:tr>
      <w:tr>
        <w:trPr>
          <w:trHeight w:val="20"/>
        </w:trPr>
        <w:tc>
          <w:tcPr>
            <w:tcW w:w="420" w:type="dxa"/>
            <w:vAlign w:val="bottom"/>
            <w:shd w:val="clear" w:color="auto" w:fill="CCEEFF"/>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3,304,235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(1,207,105)</w:t>
            </w:r>
          </w:p>
        </w:tc>
      </w:tr>
      <w:tr>
        <w:trPr>
          <w:trHeight w:val="210"/>
        </w:trPr>
        <w:tc>
          <w:tcPr>
            <w:tcW w:w="4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 for:</w:t>
      </w:r>
    </w:p>
    <w:p>
      <w:pPr>
        <w:spacing w:after="0" w:line="20" w:lineRule="exact"/>
        <w:rPr>
          <w:sz w:val="20"/>
          <w:szCs w:val="20"/>
          <w:color w:val="auto"/>
        </w:rPr>
      </w:pPr>
      <w:r>
        <w:rPr>
          <w:sz w:val="20"/>
          <w:szCs w:val="20"/>
          <w:color w:val="auto"/>
        </w:rPr>
        <w:br w:type="column"/>
      </w:r>
    </w:p>
    <w:p>
      <w:pPr>
        <w:jc w:val="both"/>
        <w:ind w:left="760"/>
        <w:spacing w:after="0"/>
        <w:tabs>
          <w:tab w:leader="none" w:pos="2460" w:val="left"/>
        </w:tabs>
        <w:rPr>
          <w:sz w:val="20"/>
          <w:szCs w:val="20"/>
          <w:color w:val="auto"/>
        </w:rPr>
      </w:pPr>
      <w:r>
        <w:rPr>
          <w:rFonts w:ascii="Arial" w:cs="Arial" w:eastAsia="Arial" w:hAnsi="Arial"/>
          <w:sz w:val="18"/>
          <w:szCs w:val="18"/>
          <w:color w:val="auto"/>
        </w:rPr>
        <w:t>1,093,965</w:t>
      </w:r>
      <w:r>
        <w:rPr>
          <w:sz w:val="20"/>
          <w:szCs w:val="20"/>
          <w:color w:val="auto"/>
        </w:rPr>
        <w:tab/>
      </w:r>
      <w:r>
        <w:rPr>
          <w:rFonts w:ascii="Arial" w:cs="Arial" w:eastAsia="Arial" w:hAnsi="Arial"/>
          <w:sz w:val="18"/>
          <w:szCs w:val="18"/>
          <w:color w:val="auto"/>
        </w:rPr>
        <w:t>(793,767)</w:t>
      </w:r>
    </w:p>
    <w:p>
      <w:pPr>
        <w:spacing w:after="0" w:line="211"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7"/>
          <w:szCs w:val="17"/>
          <w:color w:val="auto"/>
        </w:rPr>
        <w:t>3,966,050</w:t>
      </w:r>
      <w:r>
        <w:rPr>
          <w:sz w:val="20"/>
          <w:szCs w:val="20"/>
          <w:color w:val="auto"/>
        </w:rPr>
        <w:tab/>
      </w:r>
      <w:r>
        <w:rPr>
          <w:rFonts w:ascii="Arial" w:cs="Arial" w:eastAsia="Arial" w:hAnsi="Arial"/>
          <w:sz w:val="17"/>
          <w:szCs w:val="17"/>
          <w:color w:val="auto"/>
        </w:rPr>
        <w:t>4,759,817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98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30" w:lineRule="exact"/>
        <w:rPr>
          <w:sz w:val="20"/>
          <w:szCs w:val="20"/>
          <w:color w:val="auto"/>
        </w:rPr>
      </w:pPr>
    </w:p>
    <w:p>
      <w:pPr>
        <w:spacing w:after="0"/>
        <w:tabs>
          <w:tab w:leader="none" w:pos="740" w:val="left"/>
          <w:tab w:leader="none" w:pos="166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5,060,015</w:t>
        <w:tab/>
        <w:t>$</w:t>
      </w:r>
      <w:r>
        <w:rPr>
          <w:sz w:val="20"/>
          <w:szCs w:val="20"/>
          <w:color w:val="auto"/>
        </w:rPr>
        <w:tab/>
      </w:r>
      <w:r>
        <w:rPr>
          <w:rFonts w:ascii="Arial" w:cs="Arial" w:eastAsia="Arial" w:hAnsi="Arial"/>
          <w:sz w:val="16"/>
          <w:szCs w:val="16"/>
          <w:color w:val="auto"/>
        </w:rPr>
        <w:t>3,966,050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88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936" w:lineRule="exact"/>
        <w:rPr>
          <w:sz w:val="20"/>
          <w:szCs w:val="20"/>
          <w:color w:val="auto"/>
        </w:rPr>
      </w:pPr>
    </w:p>
    <w:p>
      <w:pPr>
        <w:sectPr>
          <w:pgSz w:w="11900" w:h="16838" w:orient="portrait"/>
          <w:cols w:equalWidth="0" w:num="2">
            <w:col w:w="7280" w:space="720"/>
            <w:col w:w="3240"/>
          </w:cols>
          <w:pgMar w:left="320" w:top="108" w:right="339" w:bottom="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201,679</w:t>
            </w:r>
          </w:p>
        </w:tc>
        <w:tc>
          <w:tcPr>
            <w:tcW w:w="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112,291</w:t>
            </w:r>
          </w:p>
        </w:tc>
      </w:tr>
      <w:tr>
        <w:trPr>
          <w:trHeight w:val="196"/>
        </w:trPr>
        <w:tc>
          <w:tcPr>
            <w:tcW w:w="80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Issuance of 131,136 shares of common stock previously accrued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 of use assets and liabilities - operating, upon adoption of ASU 2016-02</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338,581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Equipment financed under note payable</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1,900,000</w:t>
            </w:r>
          </w:p>
        </w:tc>
        <w:tc>
          <w:tcPr>
            <w:tcW w:w="6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Return of equipment and reduction in amount due under equipment financing loan</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33,075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spacing w:after="0" w:line="196" w:lineRule="exact"/>
              <w:rPr>
                <w:sz w:val="20"/>
                <w:szCs w:val="20"/>
                <w:color w:val="auto"/>
              </w:rPr>
            </w:pPr>
            <w:r>
              <w:rPr>
                <w:rFonts w:ascii="Arial" w:cs="Arial" w:eastAsia="Arial" w:hAnsi="Arial"/>
                <w:sz w:val="18"/>
                <w:szCs w:val="18"/>
                <w:color w:val="auto"/>
              </w:rPr>
              <w:t>Fair value of 19,048 shares of common stock issued for services</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10,405</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in right of use assets &amp; liabilities</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214,930</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193,734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Investment in food related company</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61,350</w:t>
            </w:r>
          </w:p>
        </w:tc>
        <w:tc>
          <w:tcPr>
            <w:tcW w:w="6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60,500</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Capital lease for purchase of fixed assets</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677,021</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Note payable for acquisition of land and building</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3,600,000</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200" w:type="dxa"/>
            <w:vAlign w:val="bottom"/>
            <w:gridSpan w:val="6"/>
            <w:vMerge w:val="restart"/>
          </w:tcPr>
          <w:p>
            <w:pPr>
              <w:jc w:val="right"/>
              <w:ind w:right="6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140" w:type="dxa"/>
            <w:vAlign w:val="bottom"/>
            <w:gridSpan w:val="6"/>
            <w:vMerge w:val="restart"/>
          </w:tcPr>
          <w:p>
            <w:pPr>
              <w:jc w:val="right"/>
              <w:ind w:right="60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Paid-in</w:t>
            </w:r>
          </w:p>
        </w:tc>
        <w:tc>
          <w:tcPr>
            <w:tcW w:w="2140" w:type="dxa"/>
            <w:vAlign w:val="bottom"/>
            <w:gridSpan w:val="6"/>
            <w:vMerge w:val="continue"/>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Capital</w:t>
            </w: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36,296,218</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36,132,065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2,373,171</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(1,016,370)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7"/>
              </w:rPr>
              <w:t>$ (24,957,536)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10,161,786</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10,405</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Common stock sold for cash</w:t>
            </w:r>
          </w:p>
        </w:tc>
        <w:tc>
          <w:tcPr>
            <w:tcW w:w="920" w:type="dxa"/>
            <w:vAlign w:val="bottom"/>
          </w:tcPr>
          <w:p>
            <w:pPr>
              <w:jc w:val="right"/>
              <w:spacing w:after="0"/>
              <w:rPr>
                <w:sz w:val="20"/>
                <w:szCs w:val="20"/>
                <w:color w:val="auto"/>
              </w:rPr>
            </w:pPr>
            <w:r>
              <w:rPr>
                <w:rFonts w:ascii="Arial" w:cs="Arial" w:eastAsia="Arial" w:hAnsi="Arial"/>
                <w:sz w:val="16"/>
                <w:szCs w:val="16"/>
                <w:color w:val="auto"/>
              </w:rPr>
              <w:t>349,650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249,965</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to employees, previously</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accrued</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93,666</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20"/>
                <w:szCs w:val="20"/>
                <w:color w:val="auto"/>
              </w:rPr>
            </w:pPr>
            <w:r>
              <w:rPr>
                <w:rFonts w:ascii="Arial" w:cs="Arial" w:eastAsia="Arial" w:hAnsi="Arial"/>
                <w:sz w:val="16"/>
                <w:szCs w:val="16"/>
                <w:color w:val="auto"/>
                <w:w w:val="96"/>
              </w:rPr>
              <w:t>Fair value of vested stock and stock options issued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to management</w:t>
            </w:r>
          </w:p>
        </w:tc>
        <w:tc>
          <w:tcPr>
            <w:tcW w:w="920" w:type="dxa"/>
            <w:vAlign w:val="bottom"/>
          </w:tcPr>
          <w:p>
            <w:pPr>
              <w:jc w:val="right"/>
              <w:spacing w:after="0"/>
              <w:rPr>
                <w:sz w:val="20"/>
                <w:szCs w:val="20"/>
                <w:color w:val="auto"/>
              </w:rPr>
            </w:pPr>
            <w:r>
              <w:rPr>
                <w:rFonts w:ascii="Arial" w:cs="Arial" w:eastAsia="Arial" w:hAnsi="Arial"/>
                <w:sz w:val="16"/>
                <w:szCs w:val="16"/>
                <w:color w:val="auto"/>
              </w:rPr>
              <w:t>414,807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403,732</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403,773</w:t>
            </w: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acquired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w w:val="96"/>
              </w:rPr>
              <w:t>Net income for the year ended December 31, 2019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222,767</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222,767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37,210,859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36,889,818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2,623,171</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(1,141,370)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7"/>
              </w:rPr>
              <w:t>$ (24,734,769)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11,017,397</w:t>
            </w:r>
          </w:p>
        </w:tc>
        <w:tc>
          <w:tcPr>
            <w:tcW w:w="0" w:type="dxa"/>
            <w:vAlign w:val="bottom"/>
          </w:tcPr>
          <w:p>
            <w:pPr>
              <w:spacing w:after="0"/>
              <w:rPr>
                <w:sz w:val="1"/>
                <w:szCs w:val="1"/>
                <w:color w:val="auto"/>
              </w:rPr>
            </w:pPr>
          </w:p>
        </w:tc>
      </w:tr>
      <w:tr>
        <w:trPr>
          <w:trHeight w:val="183"/>
        </w:trPr>
        <w:tc>
          <w:tcPr>
            <w:tcW w:w="35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vested stock and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954,496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505,920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506,015</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20"/>
                <w:szCs w:val="20"/>
                <w:color w:val="auto"/>
              </w:rPr>
            </w:pPr>
            <w:r>
              <w:rPr>
                <w:rFonts w:ascii="Arial" w:cs="Arial" w:eastAsia="Arial" w:hAnsi="Arial"/>
                <w:sz w:val="16"/>
                <w:szCs w:val="16"/>
                <w:color w:val="auto"/>
              </w:rPr>
              <w:t>Fair value of shares issued to employees and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service providers</w:t>
            </w:r>
          </w:p>
        </w:tc>
        <w:tc>
          <w:tcPr>
            <w:tcW w:w="920" w:type="dxa"/>
            <w:vAlign w:val="bottom"/>
          </w:tcPr>
          <w:p>
            <w:pPr>
              <w:jc w:val="right"/>
              <w:spacing w:after="0"/>
              <w:rPr>
                <w:sz w:val="20"/>
                <w:szCs w:val="20"/>
                <w:color w:val="auto"/>
              </w:rPr>
            </w:pPr>
            <w:r>
              <w:rPr>
                <w:rFonts w:ascii="Arial" w:cs="Arial" w:eastAsia="Arial" w:hAnsi="Arial"/>
                <w:sz w:val="16"/>
                <w:szCs w:val="16"/>
                <w:color w:val="auto"/>
              </w:rPr>
              <w:t>43,705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19,417</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19,421</w:t>
            </w:r>
          </w:p>
        </w:tc>
        <w:tc>
          <w:tcPr>
            <w:tcW w:w="0" w:type="dxa"/>
            <w:vAlign w:val="bottom"/>
          </w:tcPr>
          <w:p>
            <w:pPr>
              <w:spacing w:after="0"/>
              <w:rPr>
                <w:sz w:val="1"/>
                <w:szCs w:val="1"/>
                <w:color w:val="auto"/>
              </w:rPr>
            </w:pPr>
          </w:p>
        </w:tc>
      </w:tr>
      <w:tr>
        <w:trPr>
          <w:trHeight w:val="206"/>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year ended December 31, 2020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(7,665,024)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(7,665,024)</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Arial" w:cs="Arial" w:eastAsia="Arial" w:hAnsi="Arial"/>
                <w:sz w:val="16"/>
                <w:szCs w:val="16"/>
                <w:b w:val="1"/>
                <w:bCs w:val="1"/>
                <w:color w:val="auto"/>
              </w:rPr>
              <w:t>Balance - December 31, 2020</w:t>
            </w:r>
          </w:p>
        </w:tc>
        <w:tc>
          <w:tcPr>
            <w:tcW w:w="920" w:type="dxa"/>
            <w:vAlign w:val="bottom"/>
          </w:tcPr>
          <w:p>
            <w:pPr>
              <w:jc w:val="right"/>
              <w:spacing w:after="0"/>
              <w:rPr>
                <w:sz w:val="20"/>
                <w:szCs w:val="20"/>
                <w:color w:val="auto"/>
              </w:rPr>
            </w:pPr>
            <w:r>
              <w:rPr>
                <w:rFonts w:ascii="Arial" w:cs="Arial" w:eastAsia="Arial" w:hAnsi="Arial"/>
                <w:sz w:val="16"/>
                <w:szCs w:val="16"/>
                <w:color w:val="auto"/>
              </w:rPr>
              <w:t>38,209,060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3,817</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37,415,155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2,623,171</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(1,141,370)</w:t>
            </w: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w w:val="97"/>
              </w:rPr>
              <w:t>$ (32,399,793)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3,877,809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currently conducted by our wholly owned subsidiaries, some of which are non-operating, Artisan Specialty Foods Group, Inc. (“Artisan”), Food Innovations (“FII”), Food New Media Group, Inc. (“FNM”), Organic Food Brokers (“OFB”), Gourmet Food Service Group, Inc. (“GFG”), Gourmet Foodservice Warehouse, Inc. (“GFW”), Gourmeting, Inc. (“Gourmeting”), The Haley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or “Mouth”), P Innovations, LLC “(P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Mountaintop,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Innovations provides 3rd party warehouse and fulfillment services out of its location at the Company’s PA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D2C specialty food via e-commerce through its own website at www.igourmet.com and through other channels such as www.amazon.com, www.ebay.com,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and finance right of use assets and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operating subsidiaries, Artisan, FII, FNM, OFB, GFG, GFW, Gourmeting, Haley, Oasis, Innovative Gourmet, Food Funding, IFP, L Innovations, M Innovations, P Innovations, and Gourmet. All material intercompany transactions have been eliminated upon consolidation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revenue from product sales, the Company recognizes revenue in accordance with Financial Accounting Standards Board “FASB” Accounting Standards Codification “ASC” 606.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 Adoption of ASC 606 had no material effect on the Company’s financial statements.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and logistic services revenue primarily comprises of inventory management, order fulfilment and warehousing services. Warehouse &amp; logistics services revenues are recognized at the point in time when the services are rendered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by from sales for the years ended December 31, 2020 and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27,544,188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45,377,343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22,371,386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10,704,419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1,099,735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1,645,051</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Warehouse and Logistic Services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660,719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176,153</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51,676,028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57,902,966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included in selling, general, and administrative expenses all other costs which support the Company’s operations but which are not includable as a cost of sales. These include primarily payroll, facility costs such as rent and utilities, selling expenses such as commissions and advertising, amortization of intangible assets, depreciation, and other administrative costs including professional fees and costs associated with non-cash stock compensation. Advertising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include all highly liquid debt instruments with original maturities of three months or less which are not securing any corporate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December 31, 2020 and 2019, the Company had cash deposits in excess of applicable government mandated insurance limits in the amount of $3,385,113 and $2,559,503, respectively. At December 31, 2020 and 2019, trade receivables from the Company’s largest customer amounted to 22% and 35%, respectively, of total trade receivables.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doubtful accounts equal to the estimated uncollectible amounts.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$343,832 and $95,284 at December 31,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valued at cost. Depreciation is provided over the estimated useful lives up to five years using the straight-line method. Leasehold improvements are depreciated on a straight-line basis over the term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service lives of property and equipment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9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3 years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Warehouse Equipment</w:t>
            </w:r>
          </w:p>
        </w:tc>
        <w:tc>
          <w:tcPr>
            <w:tcW w:w="7900" w:type="dxa"/>
            <w:vAlign w:val="bottom"/>
          </w:tcPr>
          <w:p>
            <w:pPr>
              <w:ind w:left="1100"/>
              <w:spacing w:after="0"/>
              <w:rPr>
                <w:sz w:val="20"/>
                <w:szCs w:val="20"/>
                <w:color w:val="auto"/>
              </w:rPr>
            </w:pPr>
            <w:r>
              <w:rPr>
                <w:rFonts w:ascii="Arial" w:cs="Arial" w:eastAsia="Arial" w:hAnsi="Arial"/>
                <w:sz w:val="18"/>
                <w:szCs w:val="18"/>
                <w:color w:val="auto"/>
              </w:rPr>
              <w:t>5 years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 - Heavy</w:t>
            </w:r>
          </w:p>
        </w:tc>
        <w:tc>
          <w:tcPr>
            <w:tcW w:w="79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10 years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7900" w:type="dxa"/>
            <w:vAlign w:val="bottom"/>
          </w:tcPr>
          <w:p>
            <w:pPr>
              <w:ind w:left="1100"/>
              <w:spacing w:after="0"/>
              <w:rPr>
                <w:sz w:val="20"/>
                <w:szCs w:val="20"/>
                <w:color w:val="auto"/>
              </w:rPr>
            </w:pPr>
            <w:r>
              <w:rPr>
                <w:rFonts w:ascii="Arial" w:cs="Arial" w:eastAsia="Arial" w:hAnsi="Arial"/>
                <w:sz w:val="18"/>
                <w:szCs w:val="18"/>
                <w:color w:val="auto"/>
              </w:rPr>
              <w:t>5 years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79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5 years</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Buildings</w:t>
            </w:r>
          </w:p>
        </w:tc>
        <w:tc>
          <w:tcPr>
            <w:tcW w:w="7900" w:type="dxa"/>
            <w:vAlign w:val="bottom"/>
          </w:tcPr>
          <w:p>
            <w:pPr>
              <w:ind w:left="1100"/>
              <w:spacing w:after="0"/>
              <w:rPr>
                <w:sz w:val="20"/>
                <w:szCs w:val="20"/>
                <w:color w:val="auto"/>
              </w:rPr>
            </w:pPr>
            <w:r>
              <w:rPr>
                <w:rFonts w:ascii="Arial" w:cs="Arial" w:eastAsia="Arial" w:hAnsi="Arial"/>
                <w:sz w:val="18"/>
                <w:szCs w:val="18"/>
                <w:color w:val="auto"/>
              </w:rPr>
              <w:t>30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the lower of cost or market and is determined by the first-in, first-out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acquired as of December 31, 2018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559,315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132,858</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(192,397)</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December 31, 2019</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499,776</w:t>
            </w:r>
          </w:p>
        </w:tc>
        <w:tc>
          <w:tcPr>
            <w:tcW w:w="80" w:type="dxa"/>
            <w:vAlign w:val="bottom"/>
            <w:tcBorders>
              <w:top w:val="single" w:sz="8" w:color="CCEEFF"/>
            </w:tcBorders>
          </w:tcPr>
          <w:p>
            <w:pPr>
              <w:spacing w:after="0"/>
              <w:rPr>
                <w:sz w:val="18"/>
                <w:szCs w:val="18"/>
                <w:color w:val="auto"/>
              </w:rPr>
            </w:pPr>
          </w:p>
        </w:tc>
      </w:tr>
      <w:tr>
        <w:trPr>
          <w:trHeight w:val="216"/>
        </w:trPr>
        <w:tc>
          <w:tcPr>
            <w:tcW w:w="7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3,060,226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(642,326)</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2,917,676</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in the period that includes the enactment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820-10, “Fair Value Measurements”,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its property and equipment and any identifiable intangibles for impairment whenever events or changes in circumstances indicate that the carrying amount of an asset may not be recoverable. The test for impairment is required to be performed by management at least annually.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Method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made several investments in early stage private food related companies and are accounting for these investments under the cost method.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Income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and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there were no convertible notes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there were no warrants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December 31, 2020</w:t>
      </w:r>
    </w:p>
    <w:p>
      <w:pPr>
        <w:spacing w:after="0" w:line="166" w:lineRule="exact"/>
        <w:rPr>
          <w:sz w:val="20"/>
          <w:szCs w:val="20"/>
          <w:color w:val="auto"/>
        </w:rPr>
      </w:pPr>
    </w:p>
    <w:tbl>
      <w:tblPr>
        <w:tblLayout w:type="fixed"/>
        <w:tblInd w:w="283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ind w:left="560"/>
              <w:spacing w:after="0"/>
              <w:rPr>
                <w:sz w:val="20"/>
                <w:szCs w:val="20"/>
                <w:color w:val="auto"/>
              </w:rPr>
            </w:pPr>
            <w:r>
              <w:rPr>
                <w:rFonts w:ascii="Arial" w:cs="Arial" w:eastAsia="Arial" w:hAnsi="Arial"/>
                <w:sz w:val="18"/>
                <w:szCs w:val="18"/>
                <w:b w:val="1"/>
                <w:bCs w:val="1"/>
                <w:color w:val="auto"/>
              </w:rPr>
              <w:t>Number</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Price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of Options</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10"/>
        </w:trPr>
        <w:tc>
          <w:tcPr>
            <w:tcW w:w="1380" w:type="dxa"/>
            <w:vAlign w:val="bottom"/>
            <w:tcBorders>
              <w:left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r>
      <w:tr>
        <w:trPr>
          <w:trHeight w:val="216"/>
        </w:trPr>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360,000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1380" w:type="dxa"/>
            <w:vAlign w:val="bottom"/>
            <w:tcBorders>
              <w:left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r>
      <w:tr>
        <w:trPr>
          <w:trHeight w:val="216"/>
        </w:trPr>
        <w:tc>
          <w:tcPr>
            <w:tcW w:w="1380" w:type="dxa"/>
            <w:vAlign w:val="bottom"/>
            <w:tcBorders>
              <w:left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r>
      <w:tr>
        <w:trPr>
          <w:trHeight w:val="216"/>
        </w:trPr>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1,050,000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1380" w:type="dxa"/>
            <w:vAlign w:val="bottom"/>
            <w:tcBorders>
              <w:left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
        </w:trPr>
        <w:tc>
          <w:tcPr>
            <w:tcW w:w="138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2020, the Company incurred obligations to issue the following shares of common stock pursuant to employment agreements: an aggregate total of 775,748 shares of common stock to its Chief Executive Officer; 38,892 to its Director of Strategic Acquisitions, an aggregate total of 139,854 shares to board members; 38,943 shares to an employee. These restricted stock grants are being amortized over their vesting periods of one to three years. During the year ended December 31, 2020, the amount of $380,638 was charged to operations in connection with these grants. Also during the year ended December 31, 2020, the Company issued 4,762 shares of restricted common stock with a fair value of $2,286 to a service provider, and charged this amount to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and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there were no convertible notes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there are no warrants outstanding.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December 31, 2019:</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Exercise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Price</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 Options</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09"/>
        </w:trPr>
        <w:tc>
          <w:tcPr>
            <w:tcW w:w="14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14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14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r>
      <w:tr>
        <w:trPr>
          <w:trHeight w:val="216"/>
        </w:trPr>
        <w:tc>
          <w:tcPr>
            <w:tcW w:w="14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950,000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r>
      <w:tr>
        <w:trPr>
          <w:trHeight w:val="216"/>
        </w:trPr>
        <w:tc>
          <w:tcPr>
            <w:tcW w:w="14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40" w:type="dxa"/>
            <w:vAlign w:val="bottom"/>
          </w:tcPr>
          <w:p>
            <w:pPr>
              <w:spacing w:after="0"/>
              <w:rPr>
                <w:sz w:val="18"/>
                <w:szCs w:val="18"/>
                <w:color w:val="auto"/>
              </w:rPr>
            </w:pP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2,525,000</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2019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2019, the Company incurred obligations to issue the following shares of common stock pursuant to employment agreements: an aggregate total of 260,507 shares of common stock to its Chief Executive Officer; 30,392 to its Director of Strategic Acquisitions, an aggregate total of 291,090 shares to board members; and 100,000 shares to an employee. These restricted stock grants are being amortized over their vesting periods of one to three years. During the year ended December 31, 2019, the amount of $246,628 was charged to operations in connection with these grants. Also during the year ended December 31, 2019, the Company issued 19,048 shares of restricted common stock with a fair value of $10,405 to a service provider, and charged this amount to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Options expense charged to operations during the year ended December 31, 2020 and 2019 are summarized in the table below:</w:t>
      </w:r>
    </w:p>
    <w:p>
      <w:pPr>
        <w:spacing w:after="0" w:line="221"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5715</wp:posOffset>
            </wp:positionV>
            <wp:extent cx="2048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4" w:lineRule="exact"/>
        <w:rPr>
          <w:sz w:val="20"/>
          <w:szCs w:val="20"/>
          <w:color w:val="auto"/>
        </w:rPr>
      </w:pPr>
    </w:p>
    <w:p>
      <w:pPr>
        <w:ind w:left="1140"/>
        <w:spacing w:after="0"/>
        <w:tabs>
          <w:tab w:leader="none" w:pos="6780" w:val="left"/>
          <w:tab w:leader="none" w:pos="7740" w:val="left"/>
          <w:tab w:leader="none" w:pos="8480" w:val="left"/>
          <w:tab w:leader="none" w:pos="9420" w:val="left"/>
        </w:tabs>
        <w:rPr>
          <w:sz w:val="20"/>
          <w:szCs w:val="20"/>
          <w:color w:val="auto"/>
        </w:rPr>
      </w:pPr>
      <w:r>
        <w:rPr>
          <w:rFonts w:ascii="Arial" w:cs="Arial" w:eastAsia="Arial" w:hAnsi="Arial"/>
          <w:sz w:val="18"/>
          <w:szCs w:val="18"/>
          <w:color w:val="auto"/>
        </w:rPr>
        <w:t>Option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142,512</w:t>
        <w:tab/>
        <w:t>$</w:t>
      </w:r>
      <w:r>
        <w:rPr>
          <w:sz w:val="20"/>
          <w:szCs w:val="20"/>
          <w:color w:val="auto"/>
        </w:rPr>
        <w:tab/>
      </w:r>
      <w:r>
        <w:rPr>
          <w:rFonts w:ascii="Arial" w:cs="Arial" w:eastAsia="Arial" w:hAnsi="Arial"/>
          <w:sz w:val="16"/>
          <w:szCs w:val="16"/>
          <w:color w:val="auto"/>
        </w:rPr>
        <w:t>157,145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also granted the following shares of restricted common stock pursuant to compensation agreements:</w:t>
      </w:r>
    </w:p>
    <w:p>
      <w:pPr>
        <w:spacing w:after="0" w:line="170" w:lineRule="exact"/>
        <w:rPr>
          <w:sz w:val="20"/>
          <w:szCs w:val="20"/>
          <w:color w:val="auto"/>
        </w:rPr>
      </w:pPr>
    </w:p>
    <w:p>
      <w:pPr>
        <w:jc w:val="both"/>
        <w:ind w:firstLine="8"/>
        <w:spacing w:after="0" w:line="286" w:lineRule="auto"/>
        <w:tabs>
          <w:tab w:leader="none" w:pos="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260,507 shares of common stock with a fair value of $150,000 to the Company’s Chief Executive Officer. These shares vested over the twelve month period ended December 31, 2019; the amount of $150,000 was charged to operations during the year ended December 31, 2019. 255,328 shares, net of taxes, were issued in January 2020, and are included in common stock issued and outstanding at December 31, 2019.</w:t>
      </w:r>
    </w:p>
    <w:p>
      <w:pPr>
        <w:spacing w:after="0" w:line="165" w:lineRule="exact"/>
        <w:rPr>
          <w:rFonts w:ascii="Arial" w:cs="Arial" w:eastAsia="Arial" w:hAnsi="Arial"/>
          <w:sz w:val="17"/>
          <w:szCs w:val="17"/>
          <w:color w:val="auto"/>
        </w:rPr>
      </w:pPr>
    </w:p>
    <w:p>
      <w:pPr>
        <w:jc w:val="both"/>
        <w:ind w:firstLine="8"/>
        <w:spacing w:after="0" w:line="286" w:lineRule="auto"/>
        <w:tabs>
          <w:tab w:leader="none" w:pos="123" w:val="left"/>
        </w:tabs>
        <w:numPr>
          <w:ilvl w:val="0"/>
          <w:numId w:val="8"/>
        </w:numPr>
        <w:rPr>
          <w:rFonts w:ascii="Arial" w:cs="Arial" w:eastAsia="Arial" w:hAnsi="Arial"/>
          <w:sz w:val="17"/>
          <w:szCs w:val="17"/>
          <w:color w:val="auto"/>
        </w:rPr>
      </w:pPr>
      <w:r>
        <w:rPr>
          <w:rFonts w:ascii="Arial" w:cs="Arial" w:eastAsia="Arial" w:hAnsi="Arial"/>
          <w:sz w:val="17"/>
          <w:szCs w:val="17"/>
          <w:color w:val="auto"/>
        </w:rPr>
        <w:t>30,392 shares of restricted common stock with a fair value of $16,398 to Company’s Director of Strategic Acquisitions. These shares vested over the twelve month period ended December 31, 2019; the amount of $16,398 was charged to operations during the year ended December 31, 2019. 29,115 shares, net of taxes, were issued in January 2020, and are included in common stock issued and outstanding at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ind w:firstLine="8"/>
        <w:spacing w:after="0" w:line="259" w:lineRule="auto"/>
        <w:tabs>
          <w:tab w:leader="none" w:pos="114"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100,000 shares of restricted common stock with a fair value of $100,000 to an employee. Vesting of these shares is scheduled as follows: 33,334 shares vested on December 31, 2019; 33,333 are scheduled to vest on December 31, 2020; and 33,333 are scheduled to vest on December 31, 2021. The amount of $30,231 was charged to operations during the year ended December 31, 2019. 33,334 of these shares were vested at December 31, 2019, and are included in common stock issued and outstanding at December 31, 2019.</w:t>
      </w:r>
    </w:p>
    <w:p>
      <w:pPr>
        <w:spacing w:after="0" w:line="186" w:lineRule="exact"/>
        <w:rPr>
          <w:rFonts w:ascii="Arial" w:cs="Arial" w:eastAsia="Arial" w:hAnsi="Arial"/>
          <w:sz w:val="18"/>
          <w:szCs w:val="18"/>
          <w:color w:val="auto"/>
        </w:rPr>
      </w:pPr>
    </w:p>
    <w:p>
      <w:pPr>
        <w:jc w:val="both"/>
        <w:ind w:firstLine="8"/>
        <w:spacing w:after="0" w:line="259" w:lineRule="auto"/>
        <w:tabs>
          <w:tab w:leader="none" w:pos="128" w:val="left"/>
        </w:tabs>
        <w:numPr>
          <w:ilvl w:val="0"/>
          <w:numId w:val="9"/>
        </w:numPr>
        <w:rPr>
          <w:rFonts w:ascii="Arial" w:cs="Arial" w:eastAsia="Arial" w:hAnsi="Arial"/>
          <w:sz w:val="18"/>
          <w:szCs w:val="18"/>
          <w:color w:val="auto"/>
        </w:rPr>
      </w:pPr>
      <w:r>
        <w:rPr>
          <w:rFonts w:ascii="Arial" w:cs="Arial" w:eastAsia="Arial" w:hAnsi="Arial"/>
          <w:sz w:val="18"/>
          <w:szCs w:val="18"/>
          <w:color w:val="auto"/>
        </w:rPr>
        <w:t>145,545 shares of restricted common stock with a fair value of $75,000 to an independent director with a fair value of $150,000. These shares are scheduled to vest quarterly over a three year period beginning January 1, 2019. The amount of $25,000 was charged to operations during the year ended December 31, 2019. 48,515 of these shares were vested at December 31, 2019, and are included in common stock issued and outstanding at December 31, 2019.</w:t>
      </w:r>
    </w:p>
    <w:p>
      <w:pPr>
        <w:spacing w:after="0" w:line="186" w:lineRule="exact"/>
        <w:rPr>
          <w:rFonts w:ascii="Arial" w:cs="Arial" w:eastAsia="Arial" w:hAnsi="Arial"/>
          <w:sz w:val="18"/>
          <w:szCs w:val="18"/>
          <w:color w:val="auto"/>
        </w:rPr>
      </w:pPr>
    </w:p>
    <w:p>
      <w:pPr>
        <w:jc w:val="both"/>
        <w:ind w:firstLine="8"/>
        <w:spacing w:after="0" w:line="259" w:lineRule="auto"/>
        <w:tabs>
          <w:tab w:leader="none" w:pos="11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145,545 shares of restricted common stock with a fair value of $75,000 to a second independent director with a fair value of $150,000. These shares are scheduled to vest quarterly over a three year period beginning January 1, 2019. The amount of $25,000 was charged to operations during the year ended December 31, 2019. 48,515 of these shares were vested at December 31, 2019, and are included in common stock issued and outstanding at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prior period data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in January 2019, based upon new accounting pronouncements (described in greater detail below),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of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FASB issued ASU No. 2017-04, Simplifying the Test for Goodwill Impairment, which simplifies the subsequent measurement of goodwill by eliminating Step 2 from the goodwill impairment test. In computing the implied fair value of goodwill under Step 2, current U.S. GAAP requires the performance of procedures to determine the fair value at the impairment testing date of assets and liabilities (including unrecognized assets and liabilities) following the procedure that would be required in determining the fair value of assets acquired and liabilities assumed in a business combination. Instead, the amendments under this ASU require the goodwill impairment test to be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 ASU became effective for the Company on January 1, 2020. The amendments in this ASU were applied on a prospective basis. The adoption of this ASU had no material effect on our financial condition, results of operations, cash flows or financial disclosures.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2016, the FASB issued ASU 2016-02, Leases (Topic 842), to increase transparency and comparability among organizations by recognizing a right-of-use asset and a lease liability on the balance sheet for all leases with terms longer than 12 months and disclosing key information about leasing transactions. Leases are classified as either operating or financing, with such classification affecting the pattern of expense recognition in the income statement. In July 2018, the FASB issued ASU 2018-11, Leases (Topic 842) - Targeted Improvements, which provided an optional transition method to apply the new lease requirements through a cumulative-effect adjustment in the period of adoption.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adopted ASU 2016-02 in the first quarter of 2019 using the optional transition method and elected certain practical expedients permitted under the transition guidance, which, among other things, allowed us to not reassess prior conclusions related to contracts containing leases or lease classification. The adoption primarily affected our consolidated balance sheet through the recognition of $338,581 of operating right-of-use assets and $338,581 of operating lease liabilities as of January 1, 2019. The adoption did not have a significant impact on our results of operations or cash flows. See Note 6 to our consolidated financial statements for further discussion of the effects of the adoption of ASU 2016-02 and the associated disclosures.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2018, the FASB issued ASU 2018-07, Compensation – Stock Compensation (Topic 718): Improvements to Nonemployee Share-Based Payment Accounting. This ASU relates to the accounting for non-employee share-based payments. The amendment in this update expands the scope of Topic 718 to include all share-based payment transactions in which a grantor acquired goods or services to be used or consumed in a grantor’s own operations by issuing share-based payment awards. The ASU excludes share-based payment awards that relate to: (1) financing to the issuer; or (2) awards granted in conjunction with selling goods or services to customers as part of a contract accounted for under Topic 606, Revenue from Contracts from Customers. The share-based payments are to be measured at grant-date fair value of the equity instruments that the entity is obligated to issue when the goods or service has been delivered or rendered and all other conditions necessary to earn the right to benefit from the equity instruments have been satisfied. This standard became effective for public business entities for fiscal years beginning after December 15, 2018, including interim periods within that fiscal year. We adopted the provisions of this ASU on January 1, 2019. The adoption had no impact on our results of operations, cash flows, or financial condition.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consolidated financial statements and related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us on January 1, 2022, including interim periods within such fiscal year. Adoption is either a modified retrospective method or a fully retrospective method of transition. We are currently assessing the impact the new guidance will have on our consolidated financial statements.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Mouth Foods,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M Innovations acquired certain assets of Mouth Foods, Inc. from MFI (assignment for the benefit of creditors), LLC (“MFI”), the assignee of Mouth Foods, Inc.’s assets in connection with a Delaware assignment proceeding, pursuant to the terms of an Asset Purchase Agreement (“MFI APA”). The MFI APA was accounted for as an acquisition of an ongoing business in accordance with ASC Topic 805 - Business Combinations (“ASC 805”), where the Company was treated as the acquirer and the acquired assets and assumed liabilities were recorded by the Company at their preliminary estimated fair values. Mouth Foods, Inc., was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 At December 31, 2020, the Company maintains contingent liabilities in the aggregate amount of $120,000 on its balance sheet in connection with the MFI APA.</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date estimated fair value of the consideration transferred totaled $513,355. During the year ended December 31, 2018, the Company changed the original allocation of the purchase price among the assets acquired. The reallocated purchase price consisted of the following:</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Contingent liability – payable to debt holder</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liabilities – payable to sellers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Additional Contingent Liabilities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7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Intangible assets acquired</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419,926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36,429</w:t>
            </w:r>
          </w:p>
        </w:tc>
      </w:tr>
      <w:tr>
        <w:trPr>
          <w:trHeight w:val="209"/>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estimated fair value of the intangible assets is based on management’s estimates. Going forward, adjustments to assets acquired or liabilities assumed subsequent to the purchase price allocation period will be made in our operating results in the period in which the adjustments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igourmet,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igourmet Asset Purchase Agreement effective January 23, 2018 (the “igourmet APA”) was accounted for as an acquisition of an ongoing business in accordance with ASC Topic 805 - Business Combinations (“ASC 805”), where the Company was treated as the acquirer and the acquired assets and certain liabilities not purchased or assumed by Innovative Gourmet, which under certain circumstances, Innovative Gourmet may determine to pay, were recorded by the Company at their preliminary estimated fair values.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consideration for and in connection with the igourmet APA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igourmet APA;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$800,000 thousand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additional purchase price consolidation milestone for 2018, 2019, and 2020 were not met. The EBITDA based earnout shall be paid 37.5% in cash, 25% in Innovative Food Holdings shares valued at the time of the closing of this transaction and 37.5%, at Innovative Gourmet’s option, in Innovative Food Holdings shares valued at the time of the payment of the earnout or in cash.</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igourmet APA, our wholly-owned subsidiary, Food Funding, purchased seller’s senior secured note at a price of approximately $1,187,000, pursuant to the terms of a Loan Sale Agreement with UPS Capital Business Credit. That note was reduced by the proceeds of the igourmet APA as disclosed in (i)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acquisition date estimated fair value of the consideration transferred totaled $4,151,243. During the year ended December 31, 2018, the Company made the following purchase price adjustments: (i) accrued an additional $286,239 for accounts payable prior to acquisition; (ii) decreased contingent liabilities by the amount of $392,900 for earnout payments not made; (iii) decreased accounts receivable in the amount of $108,893 for amounts not collected; and (4) increased deferred revenue in the amount of $231,169 for shipments made. These adjustments increased the value of the acquisition to $4,275,751. At December 31, 2018, the value of the acquisition consisted of the following:</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Initial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Cash payable in connection with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039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Contingent liabilities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798" w:hanging="798"/>
        <w:spacing w:after="0"/>
        <w:tabs>
          <w:tab w:leader="none" w:pos="7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1,500,000</w:t>
      </w:r>
    </w:p>
    <w:p>
      <w:pPr>
        <w:spacing w:after="0" w:line="46" w:lineRule="exact"/>
        <w:rPr>
          <w:rFonts w:ascii="Arial" w:cs="Arial" w:eastAsia="Arial" w:hAnsi="Arial"/>
          <w:sz w:val="16"/>
          <w:szCs w:val="16"/>
          <w:color w:val="auto"/>
        </w:rPr>
      </w:pPr>
    </w:p>
    <w:p>
      <w:pPr>
        <w:ind w:left="798"/>
        <w:spacing w:after="0"/>
        <w:rPr>
          <w:rFonts w:ascii="Arial" w:cs="Arial" w:eastAsia="Arial" w:hAnsi="Arial"/>
          <w:sz w:val="16"/>
          <w:szCs w:val="16"/>
          <w:color w:val="auto"/>
        </w:rPr>
      </w:pPr>
      <w:r>
        <w:rPr>
          <w:rFonts w:ascii="Arial" w:cs="Arial" w:eastAsia="Arial" w:hAnsi="Arial"/>
          <w:sz w:val="16"/>
          <w:szCs w:val="16"/>
          <w:color w:val="auto"/>
        </w:rPr>
        <w:t>1,863,443</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286,239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231,169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394,900</w:t>
      </w:r>
    </w:p>
    <w:p>
      <w:pPr>
        <w:spacing w:after="0" w:line="32" w:lineRule="exact"/>
        <w:rPr>
          <w:sz w:val="20"/>
          <w:szCs w:val="20"/>
          <w:color w:val="auto"/>
        </w:rPr>
      </w:pPr>
    </w:p>
    <w:p>
      <w:pPr>
        <w:ind w:left="798" w:hanging="798"/>
        <w:spacing w:after="0"/>
        <w:tabs>
          <w:tab w:leader="none" w:pos="7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4,275,751</w:t>
      </w:r>
    </w:p>
    <w:p>
      <w:pPr>
        <w:spacing w:after="0" w:line="46" w:lineRule="exact"/>
        <w:rPr>
          <w:sz w:val="20"/>
          <w:szCs w:val="20"/>
          <w:color w:val="auto"/>
        </w:rPr>
      </w:pPr>
    </w:p>
    <w:p>
      <w:pPr>
        <w:sectPr>
          <w:pgSz w:w="11900" w:h="16838" w:orient="portrait"/>
          <w:cols w:equalWidth="0" w:num="2">
            <w:col w:w="7782" w:space="720"/>
            <w:col w:w="2738"/>
          </w:cols>
          <w:pgMar w:left="320" w:top="125" w:right="339" w:bottom="1440" w:gutter="0" w:footer="0" w:header="0"/>
          <w:type w:val="continuous"/>
        </w:sectPr>
      </w:pPr>
    </w:p>
    <w:tbl>
      <w:tblPr>
        <w:tblLayout w:type="fixed"/>
        <w:tblInd w:w="1120" w:type="dxa"/>
        <w:tblCellMar>
          <w:top w:w="0" w:type="dxa"/>
          <w:left w:w="0" w:type="dxa"/>
          <w:bottom w:w="0" w:type="dxa"/>
          <w:right w:w="0" w:type="dxa"/>
        </w:tblCellMar>
      </w:tblPr>
      <w:tr>
        <w:trPr>
          <w:trHeight w:val="237"/>
        </w:trPr>
        <w:tc>
          <w:tcPr>
            <w:tcW w:w="73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Tangible assets acquired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842,458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acquired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2,970,600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462,693</w:t>
            </w:r>
          </w:p>
        </w:tc>
      </w:tr>
      <w:tr>
        <w:trPr>
          <w:trHeight w:val="20"/>
        </w:trPr>
        <w:tc>
          <w:tcPr>
            <w:tcW w:w="7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4,275,751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estimated fair value of the intangible assets is based on a third party valuation expert and also includes additional analysis by management based on a subsequent analysis of the transaction and adjustments to the assets acquired and liabilities assumed, with the corresponding offset to goodwill. Going forward, adjustments to assets acquired or liabilities assumed subsequent to the purchase price allocation period will be made in our operating results in the period in which the adjustments are determined.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3. ACCOUNTS RECEIVABLE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At December 31, 2020 and 2019, accounts receivable consists of:</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from customers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2,724,137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3,405,114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(343,832)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(95,284)</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2,380,305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3,309,830</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2020 and 2019, the Company charged the amount of $254,899 and $36,037, respectively, to bad debt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specialty food products. At December 31, 2020 and 2019, inventory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3,719,786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and development and approval, Quality Assurance and Quality Control as well as sales presentations and customer demonstrations. In addition, we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 GMO, diet specific and other specialty foods. The test kitchen, packaging room and additional improvements were financed by a loan from Fifth Third Bank.</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on the building and the related improvements, furniture, fixtures, and equipment began when the Company occupied the facility in October, 2015.</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2021 was $9,400,000. Related to the Facility purchase, the Company entered into a commercial loan agreement for both the purchase price and planned improvements to the Facility. The amount of the loan was $5,500,000, of which $3,600,000 had been utilized at December 31, 2019 in connection with the purchase of the Facility; the lender was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 On October 5, 2020, the Company completed work to upgrade the Facility at a cost of $2,231,458 in order to better support the Company’s focus on e-commerce and logistics. Of the build out costs, $1,900,000 was funded by the loan described below (See Note 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A summary of property and equipment at December 31, 2020 and 2019 is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1,256,895</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Building</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7,191,451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4,959,993</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549,703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Warehouse Equipment</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373,150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345,973</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938,471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894,628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109,441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117,785</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accumulated depreciation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10,447,770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8,124,977</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(1,897,369)</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(1,479,588)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8,550,401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6,645,389</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for property and equipment amounted to $491,039 and $334,342 for the years ended December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RIGHT OF USE ASSETS AND LEASE LIABILITIES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4 years, some of which include options to extend.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lease expense for the years ended December 31, 2020 and December 31, 2019 was entirely comprised of operating leases and amounted to $171,624 and $202,551, respectively. The Company’s ROU asset amortization for the years ended December 31, 2020 and December 31, 2019 was $161,926 and $187,254, respectively. The difference between the lease expense and the associated ROU asset amortization consists of interest.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 – operating leases are summarized below:</w:t>
      </w:r>
    </w:p>
    <w:p>
      <w:pPr>
        <w:spacing w:after="0" w:line="221" w:lineRule="exact"/>
        <w:rPr>
          <w:sz w:val="20"/>
          <w:szCs w:val="20"/>
          <w:color w:val="auto"/>
        </w:rPr>
      </w:pPr>
    </w:p>
    <w:p>
      <w:pPr>
        <w:jc w:val="center"/>
        <w:ind w:left="726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5715</wp:posOffset>
            </wp:positionV>
            <wp:extent cx="968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Warehouse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Right of use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liabilities are summarized below:</w:t>
      </w:r>
    </w:p>
    <w:p>
      <w:pPr>
        <w:spacing w:after="0" w:line="20" w:lineRule="exact"/>
        <w:rPr>
          <w:sz w:val="20"/>
          <w:szCs w:val="20"/>
          <w:color w:val="auto"/>
        </w:rPr>
      </w:pPr>
      <w:r>
        <w:rPr>
          <w:sz w:val="20"/>
          <w:szCs w:val="20"/>
          <w:color w:val="auto"/>
        </w:rPr>
        <w:br w:type="column"/>
      </w:r>
    </w:p>
    <w:p>
      <w:pPr>
        <w:jc w:val="right"/>
        <w:ind w:right="1220"/>
        <w:spacing w:after="0"/>
        <w:rPr>
          <w:sz w:val="20"/>
          <w:szCs w:val="20"/>
          <w:color w:val="auto"/>
        </w:rPr>
      </w:pPr>
      <w:r>
        <w:rPr>
          <w:rFonts w:ascii="Arial" w:cs="Arial" w:eastAsia="Arial" w:hAnsi="Arial"/>
          <w:sz w:val="18"/>
          <w:szCs w:val="18"/>
          <w:color w:val="auto"/>
        </w:rPr>
        <w:t>12,695</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186,302</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1,812</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45,928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940" w:hanging="938"/>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246,737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2020</w:t>
      </w:r>
    </w:p>
    <w:p>
      <w:pPr>
        <w:spacing w:after="0" w:line="29" w:lineRule="exact"/>
        <w:rPr>
          <w:sz w:val="20"/>
          <w:szCs w:val="20"/>
          <w:color w:val="auto"/>
        </w:rPr>
      </w:pPr>
    </w:p>
    <w:p>
      <w:pPr>
        <w:sectPr>
          <w:pgSz w:w="11900" w:h="16838" w:orient="portrait"/>
          <w:cols w:equalWidth="0" w:num="2">
            <w:col w:w="7780" w:space="720"/>
            <w:col w:w="2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1120" w:type="dxa"/>
            <w:vAlign w:val="bottom"/>
          </w:tcPr>
          <w:p>
            <w:pPr>
              <w:spacing w:after="0"/>
              <w:rPr>
                <w:sz w:val="16"/>
                <w:szCs w:val="16"/>
                <w:color w:val="auto"/>
              </w:rPr>
            </w:pPr>
          </w:p>
        </w:tc>
        <w:tc>
          <w:tcPr>
            <w:tcW w:w="7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Warehouse equipment</w:t>
            </w:r>
          </w:p>
        </w:tc>
        <w:tc>
          <w:tcPr>
            <w:tcW w:w="520" w:type="dxa"/>
            <w:vAlign w:val="bottom"/>
            <w:shd w:val="clear" w:color="auto" w:fill="CCEEFF"/>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12,695</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Office</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186,302</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Vehicles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45,928</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246,737</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(87,375)</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159,362</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500" w:type="dxa"/>
            <w:vAlign w:val="bottom"/>
            <w:gridSpan w:val="2"/>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100,613</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60,599</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53,496</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53,762</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9,004</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277,474</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(30,737)</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246,737</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financing leases for vehicles and warehouse equipment. See note 14. Right of use asset – financing leases are summarized below:</w:t>
      </w:r>
    </w:p>
    <w:p>
      <w:pPr>
        <w:spacing w:after="0" w:line="244"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362,358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201,466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Warehouse Equipment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533,531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19,357</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accumulated depreciation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220,823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(119,450)</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(46,192)</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174,631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made investments in certain early stage food related companies which it expects can benefit from synergies with the Company’s various operating businesses. At December 31, 2020 the Company has investments in eight food related companies in the aggregate amount of $496,575. The Company does not have significant influence over the operations of these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Accounting Standards Codification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2020, the Company converted accounts receivable in the amount of $61,350 into an equity investment in a food related company. During the year ended December 31, 2019, the Company converted accounts receivable in the amount of $60,500 into an equity investment in a food related company, and made cash investments in three food related companies in the total amount of $35,200.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Innovative Gourmet, OFB, Haley, and M Innovations (see note 2). These assets include non-compete agreements, customer relationships, trade names, internally developed technology, and goodwill. The Company has also capitalized the development of its website.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detailed in ASC 350,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and M Innovations (see note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estimated the fair value of the Company’s reporting unit using an income approach that incorporates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 it was calculated that the net carrying value of goodwill exceeded the fair value by $650,243, and the Company was required by ASC 350 to record an impairment charge to operations during the year ended December 31, 2020. At December 31, 2020, the net carrying value of goodwill on the Company’s balance sheet is $0.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Impairment Test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year ended December 31, 2020. At December 31, 2020, the net carrying value of other intangible assets on the Company’s balance sheet is $1,633,202.The following is the net book value of these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2020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(505,900)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Website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100,380</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6,735,892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(5,102,690)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1,633,202</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2019</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(433,545)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72,355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(2,427,612)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640,422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(329,679)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545,964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650,243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650,243</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6,716,642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(3,190,836)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3,525,806</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charged to operations amortization expense in the amount of $212,902 in addition to the impairment charge of $1,698,952. During the year ended December 31, 2019, the company charged to operations amortization expense in the amount of $899,756.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w w:val="98"/>
              </w:rPr>
              <w:t>Amortization of finite life intangible assets as of December 31, 2020 is as follows:</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2024 and thereafter</w:t>
            </w: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trade names are not considered finite-lived assets, and are not being amortized. The non-compete agreement is being amortized over a period of 48 months. The customer relationships acquired in these transactions are being amortized over periods of 24 to 36 months. The internally developed technology is being amortized over 60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31, 2020 and December 31, 2019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4,914,050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3,935,384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Accrued payroll and commissions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184,473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74,572</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5,098,523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4,009,956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INTEREST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2020, accrued interest on a note outstanding was $28,873. During the year ended December 31, 2020, the Company paid cash for interest in the aggregate amount of $125,396.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accrued interest on a note outstanding was $16,973. During the year ended December 31, 2019, the Company paid cash for interest in the aggregate amount of $112,971.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12. REVOLVING CREDIT FACILITIES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Line of credit facility with Fifth Third Bank in the original amount of $2,000,000 with an interest rate of</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9"/>
              </w:rPr>
              <w:t>LIBOR plus 3.25% (the “Fifth Third Bank Line of Credit”).  Effective August 1, 2019, this credit facility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was extended to August 1, 2021. On March 20, 2020, the Company drew down the amount of $2,000,000.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During the year ended December 31, 2020, the Company paid interest in the amount of $58,382 on the Fifth</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Third Bank Line of Credit.</w:t>
            </w:r>
          </w:p>
        </w:tc>
        <w:tc>
          <w:tcPr>
            <w:tcW w:w="1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9"/>
        </w:trPr>
        <w:tc>
          <w:tcPr>
            <w:tcW w:w="800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13. NOTES PAYABLE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Secured mortgage note payable for the acquisition of land and building in Bonita Springs, Florida in the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 of $546,000. Principal payments of $4,550 plus interest at the rate of Libor plus 3% are due monthly.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The balance of the principal amount was originally due February 28, 2018. On March 23, 2018 and effective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February 26, 2018, this note was amended and renewed in the amount of $273,000, with monthly payments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of principal and interest of $4,550 payable through the maturity date of February 28, 2023. During the year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ended December 31, 2020, the Company made payments of principal and interest on this note in the amounts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of $54,600 and $5,743, respectively; during the year ended December 31, 2019, the Company made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and interest payments in the amounts of $54,060 and $11,111,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177,450</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for the acquisition of land and building in Broadview, Illinois in the amount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$980,000. Principal payments of $8,167 plus interest at the rate of LIBOR plus 2.75% are due monthly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through April 2020, the remaining principal balance in the amount of $490,000 was originally due May 29,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2020. Effective May 29, 2020, the note was amended and renewed such that principal payments of $8,303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plus accrued interest were due beginning June 29, 2020 and continuing for sixty months; the entire principal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balance and all accrued interest will be due on May 29, 2025. During the year ended December 31, 2020, the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Company made payments of principal and interest on this note in the amounts of $81,667 and $17,532,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respectively; during the year ended December 31, 2019, the Company made principal and interest payments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the amounts of $98,000 and $30,031, respectively.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530,833</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dated March 22, 2019 in the original amount of $391,558 (the “Artisan Equipment Loan”)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Fifth Third Bank. This loan is secured by the Company’s tangible and intangible personal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property and bears interest at the rate of 5.20%. The entire principal balance and all accrued interest is due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on the maturity date of March 21, 2024. Monthly payments in the amount of $7,425 including principal and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interest commenced in April, 2019. During the year ended December 31, 2019, equipment financed under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the Artisan Equipment Loan in the amount of $33,075 was returned for credit. During the year ended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December 31, 2020, the Company made payments of principal and interest on this loan in the amounts of</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$67,064 and $14,755, respectively; during the year ended December 31, 2019, the Company made principal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interest payments in the amounts of $48,654 and $18,957, respectively.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309,829</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 note payable in the amount of $20,000. The Note was due in January 2006 and the Company is currently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accruing interest on this note at 1.9%. During the year ended December 31, 2020, the Company accrued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interest in the amount of $372 on this note; during the year ended December 31, 2020, the Company accrued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 the amount of $380 on this note.</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4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Vehicle acquisition loan dated December 6, 2018 in the original amount of $51,088, payable in sixty monthly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installments of $955 including interest at the rate of 4.61% maturing November 5, 2023. During the year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ended December 31, 2020, the Company made principal and interest payments in the amount of $9,737 and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$1,723, respectively, on this loan; during the year ended December 31, 2019, the Company made principal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interest payments in the amount of $8,540 and $1,964, respectively, on this loan.</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41,788</w:t>
            </w:r>
          </w:p>
        </w:tc>
      </w:tr>
      <w:tr>
        <w:trPr>
          <w:trHeight w:val="648"/>
        </w:trPr>
        <w:tc>
          <w:tcPr>
            <w:tcW w:w="8000" w:type="dxa"/>
            <w:vAlign w:val="bottom"/>
            <w:gridSpan w:val="2"/>
          </w:tcPr>
          <w:p>
            <w:pPr>
              <w:ind w:left="55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2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Borders>
              <w:right w:val="single" w:sz="8" w:color="CCEEFF"/>
            </w:tcBorders>
            <w:gridSpan w:val="7"/>
            <w:shd w:val="clear" w:color="auto" w:fill="CCEEFF"/>
          </w:tcPr>
          <w:p>
            <w:pPr>
              <w:spacing w:after="0" w:line="201" w:lineRule="exact"/>
              <w:rPr>
                <w:sz w:val="20"/>
                <w:szCs w:val="20"/>
                <w:color w:val="auto"/>
              </w:rPr>
            </w:pPr>
            <w:r>
              <w:rPr>
                <w:rFonts w:ascii="Arial" w:cs="Arial" w:eastAsia="Arial" w:hAnsi="Arial"/>
                <w:sz w:val="18"/>
                <w:szCs w:val="18"/>
                <w:color w:val="auto"/>
                <w:w w:val="99"/>
              </w:rPr>
              <w:t>Secured mortgage facility in the amount of $5,500,000 with Fifth Third Bank for the acquisition of land and</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building in Mountaintop, Pennsylvania dated November 8, 2019 (the “Fifth Third Mortgage Facility”).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Fifth Third Mortgage Facility is secured by the assets acquired. During the year ended December 31, 2019,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the Company drew down $3,600,000 of this facility. During the year ended December 31, 2020,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Company drew down an additional $1,900,000 of this facility. The interest rate is LIBOR plus 2.75% with</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7"/>
              </w:rPr>
              <w:t>interest only due through September 30, 2020, thereafter with principal amortized at a 20 years amortization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rate and the balance due on the maturity date of September 2, 2025. The Company prepaid loan fees in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6"/>
              </w:rPr>
              <w:t>connection with this loan in the amount of $72,916 which are considered a discount to the loan and are being</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amortized over the term of the note; $12,560 of this discount was amortized to interest expense during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6"/>
              </w:rPr>
              <w:t>year ended December 31, 2020. During the year ended December 31, 2020 the Company made principal and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interest payments in the amount of $65,600 and $154,955, respectively, on this loan; during the year ended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December 31, 2019 the Company made principal and interest payments in the amount of $0 and $25,064,</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respectively, on this loan. The Company also has in place an interest rate swap agreement (the “Fifth Third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Interest Rate Swap”) with Fifth Third bank in connection with the Fifth Third Mortgage Facility. Pursuant to</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the Fifth Third Interest Rate Swap, the Company pays an additional base rate of 0.59% reduced by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difference between an initial LIBOR rate of 0.1513% and the month-end LIBOR rate. During the year ended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December 31, 2020, the Company paid an additional $6,084 of interest pursuant to the Fifth Third Interest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Swap.</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5,434,400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Borders>
              <w:right w:val="single" w:sz="8" w:color="CCEEFF"/>
            </w:tcBorders>
            <w:gridSpan w:val="7"/>
            <w:shd w:val="clear" w:color="auto" w:fill="CCEEFF"/>
          </w:tcPr>
          <w:p>
            <w:pPr>
              <w:spacing w:after="0" w:line="201" w:lineRule="exact"/>
              <w:rPr>
                <w:sz w:val="20"/>
                <w:szCs w:val="20"/>
                <w:color w:val="auto"/>
              </w:rPr>
            </w:pPr>
            <w:r>
              <w:rPr>
                <w:rFonts w:ascii="Arial" w:cs="Arial" w:eastAsia="Arial" w:hAnsi="Arial"/>
                <w:sz w:val="18"/>
                <w:szCs w:val="18"/>
                <w:color w:val="auto"/>
              </w:rPr>
              <w:t>Loan payable to Fifth Third Bank dated April 21, 2020 pursuant to the Paycheck Protection Program (the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“PPP Loan”) established under the Coronavirus Aid, Relief, and Economic Security Act (the “CARES Act”)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7"/>
              </w:rPr>
              <w:t>in the principal amount of $1,650,221. The term of the PPP Loan is two years, and the annual interest rate is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1%. Under the terms of the CARES Act, PPP Loan recipients can apply for, and be granted forgiveness for,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8"/>
              </w:rPr>
              <w:t>all or a portion of loans granted under the Paycheck Protection Program. No assurance is provided that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9"/>
              </w:rPr>
              <w:t>Company will obtain forgiveness of the PPP Loan in whole or in part. During the year ended December 31,</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1,650,221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2020, the Company accrued interest in the amount of $11,528 on the PPP Loan.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7,951,453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4,679,900</w:t>
            </w:r>
          </w:p>
        </w:tc>
        <w:tc>
          <w:tcPr>
            <w:tcW w:w="0" w:type="dxa"/>
            <w:vAlign w:val="bottom"/>
          </w:tcPr>
          <w:p>
            <w:pPr>
              <w:spacing w:after="0"/>
              <w:rPr>
                <w:sz w:val="1"/>
                <w:szCs w:val="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(71,097)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of discount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right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7,892,916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4,608,803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727,766</w:t>
            </w:r>
          </w:p>
        </w:tc>
        <w:tc>
          <w:tcPr>
            <w:tcW w:w="0" w:type="dxa"/>
            <w:vAlign w:val="bottom"/>
          </w:tcPr>
          <w:p>
            <w:pPr>
              <w:spacing w:after="0"/>
              <w:rPr>
                <w:sz w:val="1"/>
                <w:szCs w:val="1"/>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Long-term maturities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7,951,453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4,679,900</w:t>
            </w:r>
          </w:p>
        </w:tc>
        <w:tc>
          <w:tcPr>
            <w:tcW w:w="0" w:type="dxa"/>
            <w:vAlign w:val="bottom"/>
          </w:tcPr>
          <w:p>
            <w:pPr>
              <w:spacing w:after="0"/>
              <w:rPr>
                <w:sz w:val="1"/>
                <w:szCs w:val="1"/>
                <w:color w:val="auto"/>
              </w:rPr>
            </w:pPr>
          </w:p>
        </w:tc>
      </w:tr>
      <w:tr>
        <w:trPr>
          <w:trHeight w:val="413"/>
        </w:trPr>
        <w:tc>
          <w:tcPr>
            <w:tcW w:w="65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w w:val="91"/>
              </w:rPr>
              <w:t>Aggregate maturities of long-term notes payable as of December 31, 2020 are as follows:</w:t>
            </w: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3"/>
          </w:tcPr>
          <w:p>
            <w:pPr>
              <w:spacing w:after="0"/>
              <w:rPr>
                <w:sz w:val="20"/>
                <w:szCs w:val="20"/>
                <w:color w:val="auto"/>
              </w:rPr>
            </w:pPr>
            <w:r>
              <w:rPr>
                <w:rFonts w:ascii="Arial" w:cs="Arial" w:eastAsia="Arial" w:hAnsi="Arial"/>
                <w:sz w:val="18"/>
                <w:szCs w:val="18"/>
                <w:color w:val="auto"/>
              </w:rPr>
              <w:t>For the year ended December 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vMerge w:val="restart"/>
          </w:tcPr>
          <w:p>
            <w:pPr>
              <w:spacing w:after="0"/>
              <w:rPr>
                <w:sz w:val="24"/>
                <w:szCs w:val="24"/>
                <w:color w:val="auto"/>
              </w:rPr>
            </w:pPr>
          </w:p>
        </w:tc>
        <w:tc>
          <w:tcPr>
            <w:tcW w:w="2400" w:type="dxa"/>
            <w:vAlign w:val="bottom"/>
            <w:vMerge w:val="restart"/>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1,800,108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758,463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403,903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340,354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4,648,625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7,951,453</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520" w:type="dxa"/>
            <w:vAlign w:val="bottom"/>
            <w:gridSpan w:val="3"/>
          </w:tcPr>
          <w:p>
            <w:pPr>
              <w:ind w:left="55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496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14. LEASE LIABILITIES - FINANCING LEASES</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Financing lease obligation under a lease agreement for warehouse furniture and equipment truck dated</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October 14, 2020 in the original amount of $514,173 payable in sixty monthly installments of $9,942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including interest at the rate of 6.01%. During the year ended December 31, 2020, the Company made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0"/>
              </w:rPr>
              <w:t>principal and interest payments on this lease obligation in the amount of $22,216 and $7,609, respectively.</w:t>
            </w: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truck dated March 31, 2020 in the original amount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of $152,548 payable in eighty-four monthly installments of $2,188 including interest at the rate of 5.44%.</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During the year ended December 31, 2020, the Company made principal and interest payments on this lease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 in the amounts of $15,270 and $6,612, respectively.</w:t>
            </w:r>
          </w:p>
        </w:tc>
        <w:tc>
          <w:tcPr>
            <w:tcW w:w="1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Financing lease obligation under a lease agreement for a truck dated November 5, 2018 in the original</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amount of $128,587 payable in seventy monthly installments of $2,326 including interest at the rate of</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8.33%. During the year ended December 31, 2020, the Company made principal and interest payments 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this lease obligation in the amounts of $19,683 and $8,225, respectively.</w:t>
            </w:r>
          </w:p>
        </w:tc>
        <w:tc>
          <w:tcPr>
            <w:tcW w:w="1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107,597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7"/>
              </w:rPr>
              <w:t>Financing lease obligation under a lease agreement for a truck dated August 23, 2019 in the original amount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of $80,413 payable in eighty-four monthly installments of $1,148 including interest at the rate of 5.0%.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During the year ended December 31, 2020, the Company made principal and interest payments on this lease</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66,992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77,140</w:t>
            </w:r>
          </w:p>
        </w:tc>
        <w:tc>
          <w:tcPr>
            <w:tcW w:w="0" w:type="dxa"/>
            <w:vAlign w:val="bottom"/>
          </w:tcPr>
          <w:p>
            <w:pPr>
              <w:spacing w:after="0"/>
              <w:rPr>
                <w:sz w:val="1"/>
                <w:szCs w:val="1"/>
                <w:color w:val="auto"/>
              </w:rPr>
            </w:pPr>
          </w:p>
        </w:tc>
      </w:tr>
      <w:tr>
        <w:trPr>
          <w:trHeight w:val="217"/>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 in the amounts of $10,148 and $3,626, respectively.</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Long-term maturities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413"/>
        </w:trPr>
        <w:tc>
          <w:tcPr>
            <w:tcW w:w="772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w w:val="98"/>
              </w:rPr>
              <w:t>Aggregate maturities of lease liabilities – financing leases as of December 31, 2020 are as follows:</w:t>
            </w: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For the year ended December 31,</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24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146,004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2022</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140,205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163,740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2024</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162,981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133,692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37,519</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784,141</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010"/>
              <w:spacing w:after="0"/>
              <w:rPr>
                <w:sz w:val="20"/>
                <w:szCs w:val="20"/>
                <w:color w:val="auto"/>
              </w:rPr>
            </w:pPr>
            <w:r>
              <w:rPr>
                <w:rFonts w:ascii="Arial" w:cs="Arial" w:eastAsia="Arial" w:hAnsi="Arial"/>
                <w:sz w:val="18"/>
                <w:szCs w:val="18"/>
                <w:color w:val="auto"/>
              </w:rPr>
              <w:t>53</w:t>
            </w: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ind w:right="7980" w:firstLine="8"/>
        <w:spacing w:after="0" w:line="532" w:lineRule="auto"/>
        <w:tabs>
          <w:tab w:leader="none" w:pos="27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For the year ended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2020 in connection with stock based compensation based upon the terms of employment agreements with its employees and compensation agreements with the Company’s independent board members, the Company charged to operations the amount of $70,000 for the vesting of a total of 139,854 shares of common stock issuable to two of its independent board members, and $293,503 for the vesting of a total of 814,640 shares of common stock issuable to its Chief Executive Officer and its Director of Strategic Acquisitions pursuant to their employment agreements, which includes 330,758 shares with a market value of $113,887 received by the Chief Executive Officer subsequent to the expiration of a limited waiver provided through June 29, 2020 (see below). The Company also recognized non-cash compensation in the amount of $142,512 during the year ended December 31, 2020 in connection with stock options issuable to management and board members.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executive officer provided a limited waiver through June 29, 2020 of certain rights and benefits contained in his employment agreement following a Change in Control (as defined in the employment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30, 2020, the Company issued to each of two directors options to purchase 50,000 shares of common stock (an aggregate of 100,000 options) at a price of $1.20 per share, vesting January 30, 2021, and expiring January 30,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29, 2020, the Company issued to its Chief Financial Officer options to purchase 50,000 shares of common stock at a price of $0.60 per share, and options to purchase 50,000 shares of common stock at a price of $1.00 per share; these options vest quarterly over two years and expire December 28,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common stock to related party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23, 2019, the Company entered into a subscription agreement to sell 349,650 restricted shares of common stock to Pet Box LLC, a company controlled by David Polinsky, a director of the Company. The purchase price was $0.715 per share for a total of $250,000. See note 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 to Officers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2019 in connection with stock-based compensation based upon the terms of employment agreements with its employees and compensation agreements with the Company’s independent board members, the Company charged to operations the aggregate total amount of $226,803 for the vesting of a total of 387,899 shares of common stock issuable to its Chief Executive Officer, its Director of Strategic Acquisitions and to its two independent board members. In January 2020, the Company issued, net of income taxes, an aggregate of 316,966 of these shares. See note 17.</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the Company awarded the following to each of its two independent directors: (i) a cash retainer in the amount of $45,000, which was paid in January 2019; and (ii) cash retainers in the amount of $30,000 per year, to be paid quarterly.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the Company awarded the following stock options to four of its directors:</w:t>
      </w:r>
    </w:p>
    <w:p>
      <w:pPr>
        <w:spacing w:after="0" w:line="225" w:lineRule="exact"/>
        <w:rPr>
          <w:sz w:val="20"/>
          <w:szCs w:val="20"/>
          <w:color w:val="auto"/>
        </w:rPr>
      </w:pPr>
    </w:p>
    <w:p>
      <w:pPr>
        <w:ind w:left="1100" w:hanging="350"/>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five-year options to purchase 90,000 shares of common stock at a price of $0.62 per share, vesting quarterly over a three year period;</w:t>
      </w:r>
    </w:p>
    <w:p>
      <w:pPr>
        <w:spacing w:after="0" w:line="248" w:lineRule="exact"/>
        <w:rPr>
          <w:rFonts w:ascii="Arial" w:cs="Arial" w:eastAsia="Arial" w:hAnsi="Arial"/>
          <w:sz w:val="16"/>
          <w:szCs w:val="16"/>
          <w:color w:val="auto"/>
        </w:rPr>
      </w:pPr>
    </w:p>
    <w:p>
      <w:pPr>
        <w:ind w:left="1100" w:hanging="350"/>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(ii) five-year options to purchase 135,000 shares of common stock at a price of $0.85 per share, vesting quarterly over a three year period;</w:t>
      </w:r>
    </w:p>
    <w:p>
      <w:pPr>
        <w:spacing w:after="0" w:line="248" w:lineRule="exact"/>
        <w:rPr>
          <w:rFonts w:ascii="Arial" w:cs="Arial" w:eastAsia="Arial" w:hAnsi="Arial"/>
          <w:sz w:val="16"/>
          <w:szCs w:val="16"/>
          <w:color w:val="auto"/>
        </w:rPr>
      </w:pPr>
    </w:p>
    <w:p>
      <w:pPr>
        <w:ind w:left="1100" w:hanging="350"/>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(iii) five-year options to purchase 225,000 shares of common stock at a price of $1.20 per share, vesting quarterly over a three year period.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2019, the Company awarded five-year options to purchase 50,000 shares of common stock to a director at a price of $1.20 per share, vesting quarterly over a one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non-cash compensation in the amount of $157,145 during the year ended December 31, 2019 in connection with these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result from the temporary differences primarily attributable to amortization of intangible assets and debt discount and an accumulation of net operating loss carryforwards for income tax purposes with a valuation allowance against the carryforwards for book purposes.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Included in deferred tax assets are Federal and State net operating loss carryforwards of approximately $4,963,000, which will expire in various years through 2037 and net operating loss carryforwards of $6,510,000 which are carried-forward indefinitely subject to limitation.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significant changes in the Company’s ownership, the Company’s future use of its existing net operating losses may be limited.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for the years ended December 31, 2020 and 2019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(benefit) for income taxes differs from the amount of income tax determined by applying the applicable statutory income tax rate of 27.6% for the years ended December 31, 2020 and 2019 to the loss before taxes as a result of the following differences: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(7,665,024)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222,767</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Statutory tax rate</w:t>
            </w:r>
          </w:p>
        </w:tc>
        <w:tc>
          <w:tcPr>
            <w:tcW w:w="3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5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tax (benefit) at statutory rate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(2,115,000)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61,400</w:t>
            </w:r>
          </w:p>
        </w:tc>
      </w:tr>
      <w:tr>
        <w:trPr>
          <w:trHeight w:val="216"/>
        </w:trPr>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2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141,100</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Change in tax estimates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(2,221,000)</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1,961,900</w:t>
            </w:r>
          </w:p>
        </w:tc>
        <w:tc>
          <w:tcPr>
            <w:tcW w:w="2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2,018,500</w:t>
            </w:r>
          </w:p>
        </w:tc>
      </w:tr>
      <w:tr>
        <w:trPr>
          <w:trHeight w:val="20"/>
        </w:trPr>
        <w:tc>
          <w:tcPr>
            <w:tcW w:w="5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Deferred income taxes reflect the tax impact of temporary differences between the amounts of assets and liabilities for financial reporting purposes and such amounts as measured by tax laws and regulations. The change in tax estimates in 2019 was to correct the deferred tax assets associated with the net loss carryforwards.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include the net tax effects of net operating loss (NOL) carryforwards and the temporary differences between the carrying amounts of assets and liabilities for financial reporting purposes and the amounts used for income tax purposes. As of December 31, 2020, and 2019 significant components of the Company’s deferred tax assets are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3,166,700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1,867,400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94,900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91,800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607,500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79,900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2,065,400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(4,027,300)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(2,065,400)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returns for the previous three years remain open for audit by the respective tax jurisdictions.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a total of 2,837,580 shares are deemed issued but not outstanding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charged the amount of $142,512 in connection with the vesting of stock options issuable to board members and employees in connection with their compensation agreements.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charged the amount of $363,503 in connection with the vesting of 954,496 shares of common stock issuable to board members and employees in connection with their employment agreements. These shares are included in common stock outstanding at December 31, 2020.</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38,943 shares of common stock with a fair value of $0.44 to an employee as a bonus. The fair value of $17,135 was charged to operations during the year ended December 31,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4,762 shares of common stock with an average fair value of $0.48 to a service provider; the fair value of $2,286 was charged to operations during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a total of 131,136 shares of common stock to seven employees for previously accrued bonuses in the amount of $93,666.</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charged the amount of $157,145 in connection with the vesting of stock options issuable to board members and employees in connection with their employment agreements.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charged the amount of $246,628 in connection with the vesting of 421,233 shares of common stock issuable to board members and employees in connection with their employment agreements. 414,807 of the vested shares, net of taxes due, are included in common stock outstanding at December 31, 2019.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sold 349,650 restricted shares of common stock to Pet Box LLC, a company controlled by David Polinsky, a director of the Company. The purchase price was $0.715 per share for a total of $250,000.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19,048 shares of common stock with an average fair value of $0.546 to a service provider; the fair value of $10,405 was charged to operations during the year ended December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acquired 250,000 shares of common stock from an investor; the purchase price was $0.50 per share for a total of $125,000; these shares were retired to treasury during the year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the Company had 2,623,171 shares of treasury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warrants outstanding at December 31, 2020 or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30, 2020, the Company issued to each of two directors options to purchase 50,000 shares of common stock (an aggregate of 100,000 options) at a price of $1.20 per share, vesting January 30, 2021, and expiring January 30, 2023. Each grant of 50,000 options had a fair value of $1,216 on the date of the grant.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29, 2020, the Company issued to its Chief Financial Officer options to purchase 50,000 shares of common stock at a price of $0.60 per share with a fair value on the date of the grant of $7,775, and options to purchase 50,000 shares of common stock at a price of $1.00 per share with a fair value on the date of the grant of $6,291; these options vest quarterly over two years and expire December 28, 2025.</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year ended December 31, 2020, an aggregate of 475,000 options to purchase shares of common stock at a weighted average price of $1.76 expired.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1, 2019, the Company issued the following options:</w:t>
      </w:r>
    </w:p>
    <w:p>
      <w:pPr>
        <w:spacing w:after="0" w:line="225" w:lineRule="exact"/>
        <w:rPr>
          <w:sz w:val="20"/>
          <w:szCs w:val="20"/>
          <w:color w:val="auto"/>
        </w:rPr>
      </w:pPr>
    </w:p>
    <w:p>
      <w:pPr>
        <w:ind w:left="780" w:hanging="381"/>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to purchase 90,000 shares of common stock at a price of $0.62 per share, vesting quarterly over three years, and expiring December 31, 2023 issued to four of its directors (a total of 360,000 options);</w:t>
      </w:r>
    </w:p>
    <w:p>
      <w:pPr>
        <w:spacing w:after="0" w:line="170" w:lineRule="exact"/>
        <w:rPr>
          <w:rFonts w:ascii="Arial" w:cs="Arial" w:eastAsia="Arial" w:hAnsi="Arial"/>
          <w:sz w:val="18"/>
          <w:szCs w:val="18"/>
          <w:color w:val="auto"/>
        </w:rPr>
      </w:pPr>
    </w:p>
    <w:p>
      <w:pPr>
        <w:ind w:left="780" w:hanging="381"/>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to purchase 135,000 shares of common stock at a price of $0.85 per share, vesting quarterly over three years, and expiring December 31, 2023 issued to four of its directors (a total of 540,000 options);</w:t>
      </w:r>
    </w:p>
    <w:p>
      <w:pPr>
        <w:spacing w:after="0" w:line="170" w:lineRule="exact"/>
        <w:rPr>
          <w:rFonts w:ascii="Arial" w:cs="Arial" w:eastAsia="Arial" w:hAnsi="Arial"/>
          <w:sz w:val="18"/>
          <w:szCs w:val="18"/>
          <w:color w:val="auto"/>
        </w:rPr>
      </w:pPr>
    </w:p>
    <w:p>
      <w:pPr>
        <w:ind w:left="780" w:hanging="381"/>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to purchase 225,000 shares of common stock at a price of $1.20 per share, vesting quarterly over three years, and expiring December 31, 2023 issued to four of its directors (a total of 900,000 options);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average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exercise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Range of</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price of</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price of</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3"/>
              </w:rPr>
              <w:t>exercise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options</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contractual</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exercisable</w:t>
            </w:r>
          </w:p>
        </w:tc>
      </w:tr>
      <w:tr>
        <w:trPr>
          <w:trHeight w:val="234"/>
        </w:trPr>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Prices</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1"/>
              </w:rPr>
              <w:t>life (years)</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20"/>
                <w:szCs w:val="20"/>
                <w:color w:val="auto"/>
              </w:rPr>
            </w:pPr>
          </w:p>
        </w:tc>
      </w:tr>
      <w:tr>
        <w:trPr>
          <w:trHeight w:val="210"/>
        </w:trPr>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4.99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0.62</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360,000</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0.62</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240,000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r>
      <w:tr>
        <w:trPr>
          <w:trHeight w:val="216"/>
        </w:trPr>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540,000</w:t>
            </w:r>
          </w:p>
        </w:tc>
        <w:tc>
          <w:tcPr>
            <w:tcW w:w="13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r>
      <w:tr>
        <w:trPr>
          <w:trHeight w:val="216"/>
        </w:trPr>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4.99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3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1,,050,000</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2.84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3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2,250,000</w:t>
            </w: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2.82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57</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638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6800" w:type="dxa"/>
            <w:vAlign w:val="bottom"/>
            <w:gridSpan w:val="3"/>
          </w:tcPr>
          <w:p>
            <w:pPr>
              <w:spacing w:after="0"/>
              <w:rPr>
                <w:sz w:val="20"/>
                <w:szCs w:val="20"/>
                <w:color w:val="auto"/>
              </w:rPr>
            </w:pPr>
            <w:r>
              <w:rPr>
                <w:rFonts w:ascii="Arial" w:cs="Arial" w:eastAsia="Arial" w:hAnsi="Arial"/>
                <w:sz w:val="18"/>
                <w:szCs w:val="18"/>
                <w:color w:val="auto"/>
              </w:rPr>
              <w:t>Transactions involving stock options are summarized as follows: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Number of Shares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0"/>
                <w:szCs w:val="20"/>
                <w:color w:val="auto"/>
              </w:rPr>
            </w:pPr>
          </w:p>
        </w:tc>
      </w:tr>
      <w:tr>
        <w:trPr>
          <w:trHeight w:val="209"/>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1,850,000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0.98</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Cancelled / Expired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r>
      <w:tr>
        <w:trPr>
          <w:trHeight w:val="209"/>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2,525,000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 / Expired</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r>
      <w:tr>
        <w:trPr>
          <w:trHeight w:val="209"/>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0"/>
        </w:trPr>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December 31, 2020 and 2019 was $0. Aggregate intrinsic value represents the difference between the Company’s closing stock price on the last trading day of the fiscal period, which was $0.29 and $0.44 as of December 31, 2020 and 2019, respectively, and the exercise price multiplied by the number of options outstanding.</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and 2019, the Company charged $142,512 and $157,145, respectively, to operations related to recognized stock-based compensation expense for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grant dates in relation to the market price during 2020 and 2019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lower than market price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equal to market price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exceeded market price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 to 1.50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 to 1.20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there were 800,000 and 1,675,000, respectively, non-vested options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warrants and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valued warrants and options using the Black-Scholes valuation model utilizing the following variables: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41.7-82.7%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59.38-63.16%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0.37-1.37%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1.79-2.49%</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3.00-5.00</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3.00-4.93</w:t>
            </w:r>
          </w:p>
        </w:tc>
        <w:tc>
          <w:tcPr>
            <w:tcW w:w="114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40" w:type="dxa"/>
            <w:vAlign w:val="bottom"/>
          </w:tcPr>
          <w:p>
            <w:pPr>
              <w:jc w:val="right"/>
              <w:ind w:right="87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igourmet Asset Purchase Agreement, the Company recorded contingent liabilities in the original amount of $787,800. This amount relates to certain performance 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year ended December 31, 2020, the Company paid the amount of $40,000 in connection with the additional liabilities. At December 31, 2020, the amount of $67,000 remains on the Company’s consolidated balance sheet as a current contingent liability, and $116,600 as a long term contingent liability.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 based payments following the acquisition date as well as to certain additional liabilities that the Company has evaluated and has recorded on a contingent basis. During the year ended December 31, 2019, the Company paid the amount of $120,576 in connection with these liabilities. At December 31, 2020, $120,000 is classified as a current contingent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respectively. As of December 31, 2020, the Company has made the required minimum royalty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employed by Innovative 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tendered) and umbrella policy that covers one of the Company’s subsidiaries, we intend to further aggressively pursue the Company’s and its subsidiaries’ insurance coverage under their umbrella and other available policies. The Company has brought an action for declaratory judgement against one of the insurance companies under which it had an umbrella policy so that the court can compel it to provide liability coverage. In addition, the Company has been defending this action and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pending legal proceeding against the driver in connection with the events related to the case. It is not anticipated that the Company and its subsidiaries will be a party to any other legal proceedings in connection with this matter.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MAJOR CUSTOMER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largest customer, U.S. Foods, Inc. and its affiliates, accounted for approximately 40% and 57% of total sales in each of the years ended December 31, 2020 and 2019. A contract between our subsidiary, Food Innovations, and U.S. Foods entered an optional renewal period in December 2012 but was automatically extended for an additional 12 months in each of January 1, 2013 and 2014. On January 26, 2015 we executed a contract directly between Food Innovations, Inc., our wholly-owned subsidiary, and U.S. Foods, Inc. The term of the contract was from January 1, 2015 through December 31, 2016 and provided for a limited number of automatic annual renewals thereafter if no party gives the other 30 days’ notice of its intent not to renew. Based on the terms, the Agreement was extended through December 31,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 convertible debt features and warrant instruments is determined using option pricing models.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adoption of ASC 815-40, the Company is required to disclose the fair value measurements required by ASC 820, “Fair Value Measurements and Disclosures.” Hierarchical levels, defined by ASC 820 are directly related to the amount of subjectivity associated with the inputs to fair valuations of these liabilities are as follows: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for which little or no market data exist, therefore requiring an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December 31, 2020 and 2019, the Company did not have financial assets or liabilities that are required to be accounted for at fair value on a 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Subsequent to December 31, 2020, we applied for and received new loans in the amount of $1,748,814 under the Paycheck Protection Program (the “PPP Loan”) established under the Coronavirus Aid, Relief, and Economic Security Act (the “CARES Act”) . The term of the PPP Loan is two years, and the annual interest rate is 1%. Under the terms of the CARES Act, PPP Loan recipients can apply for, and be granted forgiveness for, all or a portion of loans granted under the Paycheck Protection Program. No assurance is provided that the Company will obtain forgiveness of this PPP Loan in whole or in part.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we conducted an evaluation of our disclosure controls and procedures, as such term is defined under Rules 13a-15(e) and 15d-15(e)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We concluded that our disclosure controls and procedures as defined in Rule 13a-15(e) under the Exchange Act were effective as of December 31, 2020 to ensure that information required to be disclosed in reports we file or submit under the Exchange Act is recorded, processed, and summarized and reported within the time periods specified in SEC rules and forms and our disclosure controls and procedures are also effective to ensure that the information required to be disclosed in reports that we file under the Exchange Act is accumulated and communicated to our principal executive and financial officers to allow timely decisions regarding required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15d-(f) under the Exchange Act. Our internal control over financial reporting are designed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w:t>
      </w:r>
    </w:p>
    <w:p>
      <w:pPr>
        <w:spacing w:after="0" w:line="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0"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our consolidated financial statements in accordance with U.S.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firstLine="8"/>
        <w:spacing w:after="0" w:line="260" w:lineRule="auto"/>
        <w:tabs>
          <w:tab w:leader="none" w:pos="3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2020. In making this assessment, management used the criteria set forth in Internal Control Over Financial Reporting — Guidance for Smaller Public Companies issued by the Committee of Sponsoring Organizations of the Treadway Commission (2013). Management has identified a control deficiency regarding the integration of two acquisitions in 2018 and as a result management has concluded our internal control over financial reporting was ineffective at December 31, 2020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recently named a new Chief Financial Officer and also expect to retain additional qualified personnel and accounting and systems consultants to continue to remediate this control deficiency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temporary rules of the SEC that permit us to provide only management’s report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are the directors and executive officers of our Company, their respective names and ages, positions with our Company, principal occupations and business experiences during at least the past five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Sam Klepfish</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46</w:t>
            </w: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Justin Wiernasz</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55</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Director of Strategic Acquisitions and Director</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79</w:t>
            </w: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Hank Cohn</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David Polinsky</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50</w:t>
            </w: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C. Pappas</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40</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Mark Schmulen</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40</w:t>
            </w: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Richard Tang</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 Klepfish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Klepfish has been a director since December 1, 2005. From November 2007 to present Mr. Klepfish is the CEO of Innovative Food Holdings and its subsidiaries. From March 2006 to November 2007 Mr. Klepfish was the interim president of the Company and its subsidiary. Since February 2005 Mr. Klepfish was also a Managing Partner at ISG Capital, a merchant bank. From May 2004 through February 2005 Mr. Klepfish served as a Managing Director of Technoprises, Ltd. From January 2001 to May 2004 he was a corporate finance analyst and consultant at Phillips Nizer, a New York law firm. Since January 2001 Mr. Klepfish has been a member of the steering committee of Tri-State Ventures, a New York investment group. From 1998 to December 2000, Mr. Klepfish was an asset manager for several investors in small-cap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Joel Gold, Director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Gold is currently a partner in a merchant banking firm, and has served on the board and committees of numerous companies. Prior to that, he was an investment banker at Buckman, Buckman and Reid located in New Jersey, a position he held since May 2010. Prior there to, from October 2004, he was head of investment banking of Andrew Garrett, Inc. From January 2000 until September 2004, he served as Executive Vice President of Investment Banking of Berry Shino Securities, Inc., an investment banking firm also located in New York City. From January 1999 until December 1999, he was an Executive Vice President of Solid Capital Markets, an investment-banking firm also located in New York City. From September 1997 to January 1999, he served as a Senior Managing Director of Interbank Capital Group, LLC, an investment banking firm also located in New York City. From April 1996 to September 1997, Mr. Gold was an Executive Vice President of LT Lawrence &amp; Co., and from March 1995 to April 1996, a Managing Director of Fechtor Detwiler &amp; Co., Inc., a representative of the underwriters for the Company’s initial public offering. Mr. Gold was a Managing Director of Furman Selz Incorporated from January 1992 until March 1995. From April 1990 until January 1992, Mr. Gold was a Managing Director of Bear Stearns and Co., Inc. (“Bear Stearns”). For approximately 20 years before he became affiliated with Bear Stearns, he held various positions with Drexel Burnham Lambert,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Hank Cohn,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Cohn has been a director since October 29, 2010. Hank Cohn is currently CEO of P1 Billing, LLC, a revenue cycle management services provider to ambulatory medical clinics. P1 Billing is a spinoff of PracticeOne Inc., (formerly PracticeXpert, Inc., an OTCBB traded company), an integrated PMS and EMR software and services company for physicians. Mr. Cohn served as President and Chief Executive Officer of PracticeOne from December 2009 until December 2009, at which time he sold the company to Francison Partners, one of the largest, global technology focused, private equity firms in Silicon Valley. Prior to that, Mr. Cohn worked with a number of public companies. A partial list of his past and present board memberships include: Analytical Surveys, Inc., Kaching, Inc., and International Food and Wine, Inc., currently Evolution Resources Inc. Mr. Cohn also served as the executive vice president of Galaxy Ventures, LLC a closely-held investment fund concentrating in the areas of bond trading and early stage technology investments, where he acted as portfolio manager for investments.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Wiernasz, Director of Strategic Acquisitions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Wiernasz has been a director since November 1, 2013. Effective on May 11, 2018, Mr. Justin Wiernasz resigned his position of President of Innovative Food Holdings, Inc. which he held since July 31, 2008 and assumed the position of Director of Strategic Acquisitions. Prior thereto he was the Executive Vice President of Marketing and Sales and Chief Marketing Officer of our operating subsidiary, Food Innovations, Inc. since May 2007 and the President of Food Innovations and our Chief Marketing Officer since December 2007. Prior thereto, he was at USF, our largest customer, for 13 years. From 2005 to 2007 he was the Vice President of Sales &amp; Marketing, USF, Boston, and prior thereto, from 2003 to 2005 he was a National Sales Trainer at USF, Charleston SC, from 1996 to 2003 he was the District Sales Manager at USF, Western Massachusetts and from 1993 to 1996 he was Territory Manager, USF, Northampton, Easthampton &amp; Amherst, MA. Prior to that from 1989 to 1993 he was the owner and operator J.J.’s food and spirit, a 110 seat restaurant</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Tang , CFO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Richard Tang has been CFO at IVFH since December 29, 2020. Mr. Tang, has more than 25 years of experience in senior leadership roles, working in media, e-commerce, CPG and food-based sectors, most recently as CFO for Van Leeuwen Ice Cream LLC, a nationwide manufacturer of ultra-premium dairy and vegan ice cream distributed and sold through 2,000 supermarket and independent chain doors nationwide and multi-state brick and mortar locations. Prior thereto, from 2017 to 2019, Mr. Tang was CFO at Nutraceutical Wellness, Inc., a global subscription-based CPG e-commerce and business-to-business wellness vitamin and supplements consumer business. Prior thereto, from 2012-2016, Tang was Senior Vice President, Corporate Development at Fareportal, the third largest Online Travel Agency in North America. Mr. Tang has also held senior financial roles at The Condé Nast Publications, Time Warner, and Walt Disney Corporation. Mr. Tang holds a Master of Business Administration from Boston University Graduate School of Management and a Bachelor of Science from Boston College.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Polinsky,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David A. Polinsky has been a director since July 24, 2019. Mr. Polinsky has served as Chief Financial Officer of Rafael Holdings, Inc. (NYSE: RFL) since December 2017. Mr. Polinsky co-founded Rafael Pharmaceuticals and served as its Vice President, General Counsel and Corporate Secretary from 2002 and as President, General Counsel and Secretary from 2016 through March 2018. He also served on Rafael Pharmaceutical’s Board from 2002 until 2014. Prior to joining Rafael Pharmaceuticals, from 1996 to 2002, he served as Vice President and General Counsel for a New York-based real estate focused investment and management company, Square Management Corp., leading the investment analysis in and management of residential, office, retail and development properties. Previously and in partnership with the Honorable Edward I. Koch, former Mayor of New York City, Mr. Polinsky founded in 1999 and served as CEO of a company that licensed and developed TheLaw.com as a leading consumer focused legal information site. Mr. Polinsky earned his Juris Doctorate from Fordham University School of Law in 1996 and his Bachelor of Arts from Yeshiva University in 1993. Mr. Polinsky also earned the CFA Institute’s Investment Foundations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Pappas, Director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James C. Pappas has been a director since January 30, 2020. Mr. Pappas has served as the Managing Member of JCP Investment Management, LLC (“JCP Management”), an investment firm, and the sole member of JCP Investment Holdings, LLC (“JCP Holdings”), since June 2009. Mr. Pappas has also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The Goldman Sachs Group, Inc. (NYSE:GS) (“Goldman Sachs”),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Schmulen, Director</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Mark Schmulen has been a director since January 30, 2020. Mr. Schmulen is a co-founder and has served as CEO of Chirp Systems, Inc., a venture-backed smart access solution for multifamily property owners, since October 2019. Mr. Schmulen has also served as the managing director of Jelly Capital, LLC, a private investment fund focused on early stage technology and real estate investments, since May 2015, and as an investment advisor representative for Forum Financial, LP, an independent investment advisor, since November 2016. Previously, he served as General Manager of Social Media for Constant Contact, Inc. (formerly NASDAQ:CTCT), a provider of digital marketing solutions, from May 2010 until May 2014. Prior to that, he was co-founder and served as CEO of Nutshell Mail, Inc., a social media marketing solution, from 2008 until its acquisition by Constant Contact, Inc. in 2010. Mr. Schmulen began his career as an investment banking analyst with JPMorgan Chase Bank. Currently, he serves on the board of directors for the Shlenker School, since August 2017 and is a Director of the HHF Foundation, benefiting early childhood education, since December 2014. Mr. Schmulen holds a B.S. from the University of Pennsylvania and an M.S. in Management from Stanford’s Graduate School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of Directors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all of our directors are qualified for their positions and each brings a benefit to the board. Messrs. Kelpfish and Wiernasz, as our officers, are uniquely qualified to bring management’s perspective to the board’s deliberations. Mr. Gold, with his lengthy career working for broker/dealers, bring a “Wall Street” perspective and Mr. Schmulen, with his private equity experience, and Messrs. Cohn and Polinsky, with their prior history of being executives and directors of other companies, bring a well-rounded background and wealth of general business experience to our board. Mr. Pappas, brings both his investment and corporate finance background and food industry experience to the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currently has an Audit Committee, a Compensation Committee, and a Nominating and Corporate Governance Committee. The members of the Compensation Committee and of the Nominating and Corporate Governance Committee are Messrs. Gold, Cohn, Pappas and Schmulen and the members of the Audit Committee are Messrs. Gold, Cohn and Schmulen with Mr. Cohn designated as the Audit Committee Financial Expert. All of the members of each committee have been determined by the Board of Directors to be independent.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Mr. Pappas’ appointment to the Board, as described in a Current Report on Form 8-K filed on January 30, 2020 (the “January 8-K”), the Company and Mr. Pappas entered into an Agreement (the “Agreement”) which, among other things, provided that (i) the Company (x) will support the continued directorships of the New Directors (as defined in the Agreement) at the next two annual meetings and (y) after 18 months will appoint another nominee of JCP (as defined in the Agreement”) to the Board and support such nominee at the next annual meeting, provided that such nominee shall be subject to the approval (which shall not be unreasonably withheld) of the Nominating and Corporate Governance Committee of the Board and the Board after exercising their good faith customary due diligence process and fiduciary duties; and (ii) JCP and the Company agreed to certain standstill provisions, as more fully described in the Agreement. As of the date hereof, the New Directors referred to in the Agreement are Messrs. Pappas and Schmulen.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adopted a Code of Ethics that applies to each of our employees, including our CEO, our principal financial officer, as well as members of our Board of Directors. A copy of such Code has been publicly filed with, and is available for free from, the Securities and Exchange Commission.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Messrs. Gold, Klepfish, Wiernasz and Cohn did not file a Form 4 in connection with the receipt of shares and Messrs. Pappas, Schmulen and Tang did not file a Form 4 in connection with the receipt of options and Mr. Tang did not file a Form 3. None of the unfiled Forms 4 related to the public sale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sets forth information concerning the compensation for services rendered to us for the two years ended December 31, 2020, of our Chief Executive Officer, our principal financial officer and our highest compensated officer whose annual compensation exceeded $100,000 in the fiscal year ended December 31, 2020, if any. We refer to the Chief Executive Officer and these other officers as the named executive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Nonqualified</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Non-Equity</w:t>
            </w:r>
          </w:p>
        </w:tc>
        <w:tc>
          <w:tcPr>
            <w:tcW w:w="88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Deferred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b w:val="1"/>
                <w:bCs w:val="1"/>
                <w:color w:val="auto"/>
              </w:rPr>
              <w:t>Name and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Stock</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Option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Incentive Plan</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gridSpan w:val="3"/>
          </w:tcPr>
          <w:p>
            <w:pPr>
              <w:ind w:left="180"/>
              <w:spacing w:after="0"/>
              <w:rPr>
                <w:sz w:val="20"/>
                <w:szCs w:val="20"/>
                <w:color w:val="auto"/>
              </w:rPr>
            </w:pPr>
            <w:r>
              <w:rPr>
                <w:rFonts w:ascii="Arial" w:cs="Arial" w:eastAsia="Arial" w:hAnsi="Arial"/>
                <w:sz w:val="16"/>
                <w:szCs w:val="16"/>
                <w:b w:val="1"/>
                <w:bCs w:val="1"/>
                <w:color w:val="auto"/>
              </w:rPr>
              <w:t>All Other</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Salary</w:t>
            </w:r>
          </w:p>
        </w:tc>
        <w:tc>
          <w:tcPr>
            <w:tcW w:w="12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6"/>
                <w:szCs w:val="16"/>
                <w:b w:val="1"/>
                <w:bCs w:val="1"/>
                <w:color w:val="auto"/>
              </w:rPr>
              <w:t>Bonus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Awards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Awards</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880" w:type="dxa"/>
            <w:vAlign w:val="bottom"/>
          </w:tcPr>
          <w:p>
            <w:pPr>
              <w:jc w:val="center"/>
              <w:ind w:left="59"/>
              <w:spacing w:after="0"/>
              <w:rPr>
                <w:sz w:val="20"/>
                <w:szCs w:val="20"/>
                <w:color w:val="auto"/>
              </w:rPr>
            </w:pPr>
            <w:r>
              <w:rPr>
                <w:rFonts w:ascii="Arial" w:cs="Arial" w:eastAsia="Arial" w:hAnsi="Arial"/>
                <w:sz w:val="16"/>
                <w:szCs w:val="16"/>
                <w:b w:val="1"/>
                <w:bCs w:val="1"/>
                <w:color w:val="auto"/>
                <w:w w:val="90"/>
              </w:rPr>
              <w:t>Earnings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3"/>
              </w:rPr>
              <w:t>Compensation</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r>
      <w:tr>
        <w:trPr>
          <w:trHeight w:val="213"/>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Year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w w:val="84"/>
              </w:rPr>
              <w:t>($</w:t>
            </w:r>
          </w:p>
        </w:tc>
        <w:tc>
          <w:tcPr>
            <w:tcW w:w="460" w:type="dxa"/>
            <w:vAlign w:val="bottom"/>
            <w:tcBorders>
              <w:bottom w:val="single" w:sz="8" w:color="auto"/>
            </w:tcBorders>
          </w:tcPr>
          <w:p>
            <w:pPr>
              <w:jc w:val="right"/>
              <w:ind w:right="343"/>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w w:val="74"/>
              </w:rPr>
              <w:t>($</w:t>
            </w:r>
          </w:p>
        </w:tc>
        <w:tc>
          <w:tcPr>
            <w:tcW w:w="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199"/>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Sam Klepfish</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2020</w:t>
            </w: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406,320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276,387</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3,406</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686,113</w:t>
            </w: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CEO</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341,646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150,000</w:t>
            </w:r>
          </w:p>
        </w:tc>
        <w:tc>
          <w:tcPr>
            <w:tcW w:w="60" w:type="dxa"/>
            <w:vAlign w:val="bottom"/>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(a)</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2,493</w:t>
            </w:r>
          </w:p>
        </w:tc>
        <w:tc>
          <w:tcPr>
            <w:tcW w:w="380" w:type="dxa"/>
            <w:vAlign w:val="bottom"/>
          </w:tcPr>
          <w:p>
            <w:pPr>
              <w:ind w:left="60"/>
              <w:spacing w:after="0"/>
              <w:rPr>
                <w:sz w:val="20"/>
                <w:szCs w:val="20"/>
                <w:color w:val="auto"/>
              </w:rPr>
            </w:pPr>
            <w:r>
              <w:rPr>
                <w:rFonts w:ascii="Arial" w:cs="Arial" w:eastAsia="Arial" w:hAnsi="Arial"/>
                <w:sz w:val="16"/>
                <w:szCs w:val="16"/>
                <w:color w:val="auto"/>
              </w:rPr>
              <w:t>(b)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494,139</w:t>
            </w:r>
          </w:p>
        </w:tc>
      </w:tr>
      <w:tr>
        <w:trPr>
          <w:trHeight w:val="203"/>
        </w:trPr>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Justin Wiernasz</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2020</w:t>
            </w: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392,638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10,000</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17,116</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26,086</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445,840</w:t>
            </w: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Director of Strategic</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580" w:type="dxa"/>
            <w:vAlign w:val="bottom"/>
          </w:tcPr>
          <w:p>
            <w:pPr>
              <w:spacing w:after="0"/>
              <w:rPr>
                <w:sz w:val="20"/>
                <w:szCs w:val="20"/>
                <w:color w:val="auto"/>
              </w:rPr>
            </w:pPr>
            <w:r>
              <w:rPr>
                <w:rFonts w:ascii="Arial" w:cs="Arial" w:eastAsia="Arial" w:hAnsi="Arial"/>
                <w:sz w:val="16"/>
                <w:szCs w:val="16"/>
                <w:color w:val="auto"/>
              </w:rPr>
              <w:t>Acquisitions</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376,955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25,000</w:t>
            </w:r>
          </w:p>
        </w:tc>
        <w:tc>
          <w:tcPr>
            <w:tcW w:w="360" w:type="dxa"/>
            <w:vAlign w:val="bottom"/>
          </w:tcPr>
          <w:p>
            <w:pPr>
              <w:ind w:left="60"/>
              <w:spacing w:after="0"/>
              <w:rPr>
                <w:sz w:val="20"/>
                <w:szCs w:val="20"/>
                <w:color w:val="auto"/>
              </w:rPr>
            </w:pPr>
            <w:r>
              <w:rPr>
                <w:rFonts w:ascii="Arial" w:cs="Arial" w:eastAsia="Arial" w:hAnsi="Arial"/>
                <w:sz w:val="16"/>
                <w:szCs w:val="16"/>
                <w:color w:val="auto"/>
              </w:rPr>
              <w: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16,398</w:t>
            </w:r>
          </w:p>
        </w:tc>
        <w:tc>
          <w:tcPr>
            <w:tcW w:w="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(a)</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15,619</w:t>
            </w:r>
          </w:p>
        </w:tc>
        <w:tc>
          <w:tcPr>
            <w:tcW w:w="380" w:type="dxa"/>
            <w:vAlign w:val="bottom"/>
          </w:tcPr>
          <w:p>
            <w:pPr>
              <w:ind w:left="60"/>
              <w:spacing w:after="0"/>
              <w:rPr>
                <w:sz w:val="20"/>
                <w:szCs w:val="20"/>
                <w:color w:val="auto"/>
              </w:rPr>
            </w:pPr>
            <w:r>
              <w:rPr>
                <w:rFonts w:ascii="Arial" w:cs="Arial" w:eastAsia="Arial" w:hAnsi="Arial"/>
                <w:sz w:val="16"/>
                <w:szCs w:val="16"/>
                <w:color w:val="auto"/>
              </w:rPr>
              <w:t>(b)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433,972</w:t>
            </w:r>
          </w:p>
        </w:tc>
      </w:tr>
      <w:tr>
        <w:trPr>
          <w:trHeight w:val="205"/>
        </w:trPr>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Richard Tang</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2020(d)</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w w:val="99"/>
              </w:rPr>
              <w:t>Chief Financial Officer</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Norma Vila,</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2020(d)</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157,884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3,241</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161,125</w:t>
            </w: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Principal Accounting</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580" w:type="dxa"/>
            <w:vAlign w:val="bottom"/>
          </w:tcPr>
          <w:p>
            <w:pPr>
              <w:spacing w:after="0"/>
              <w:rPr>
                <w:sz w:val="20"/>
                <w:szCs w:val="20"/>
                <w:color w:val="auto"/>
              </w:rPr>
            </w:pPr>
            <w:r>
              <w:rPr>
                <w:rFonts w:ascii="Arial" w:cs="Arial" w:eastAsia="Arial" w:hAnsi="Arial"/>
                <w:sz w:val="16"/>
                <w:szCs w:val="16"/>
                <w:color w:val="auto"/>
              </w:rPr>
              <w:t>Officer (e)</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John McDonald,</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2020(d)</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192,358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6,592</w:t>
            </w:r>
          </w:p>
        </w:tc>
        <w:tc>
          <w:tcPr>
            <w:tcW w:w="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198,950</w:t>
            </w:r>
          </w:p>
        </w:tc>
      </w:tr>
      <w:tr>
        <w:trPr>
          <w:trHeight w:val="193"/>
        </w:trPr>
        <w:tc>
          <w:tcPr>
            <w:tcW w:w="1580" w:type="dxa"/>
            <w:vAlign w:val="bottom"/>
          </w:tcPr>
          <w:p>
            <w:pPr>
              <w:spacing w:after="0"/>
              <w:rPr>
                <w:sz w:val="20"/>
                <w:szCs w:val="20"/>
                <w:color w:val="auto"/>
              </w:rPr>
            </w:pPr>
            <w:r>
              <w:rPr>
                <w:rFonts w:ascii="Arial" w:cs="Arial" w:eastAsia="Arial" w:hAnsi="Arial"/>
                <w:sz w:val="16"/>
                <w:szCs w:val="16"/>
                <w:color w:val="auto"/>
              </w:rPr>
              <w:t>Principal Accounting</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Officer (f)</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210,477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8,405</w:t>
            </w:r>
          </w:p>
        </w:tc>
        <w:tc>
          <w:tcPr>
            <w:tcW w:w="380" w:type="dxa"/>
            <w:vAlign w:val="bottom"/>
          </w:tcPr>
          <w:p>
            <w:pPr>
              <w:ind w:left="60"/>
              <w:spacing w:after="0"/>
              <w:rPr>
                <w:sz w:val="20"/>
                <w:szCs w:val="20"/>
                <w:color w:val="auto"/>
              </w:rPr>
            </w:pPr>
            <w:r>
              <w:rPr>
                <w:rFonts w:ascii="Arial" w:cs="Arial" w:eastAsia="Arial" w:hAnsi="Arial"/>
                <w:sz w:val="16"/>
                <w:szCs w:val="16"/>
                <w:color w:val="auto"/>
              </w:rPr>
              <w:t>(b)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218,882</w:t>
            </w:r>
          </w:p>
        </w:tc>
      </w:tr>
    </w:tbl>
    <w:p>
      <w:pPr>
        <w:spacing w:after="0" w:line="208"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the portion of restricted stock awards which were recognized as a period cost during the year for services as an executive officer.</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cash payments for health care benefits.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a cash bonus paid during the year for services performed in the previous year.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Tang’s employment with the Company was effective December 29, 2020.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Vila assumed the rule of Principal Accounting Officer effective November 12, 2020.</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McDonald’s employment with the Company ended effective November 18,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ind w:left="780"/>
              <w:spacing w:after="0"/>
              <w:rPr>
                <w:sz w:val="20"/>
                <w:szCs w:val="20"/>
                <w:color w:val="auto"/>
              </w:rPr>
            </w:pPr>
            <w:r>
              <w:rPr>
                <w:rFonts w:ascii="Arial" w:cs="Arial" w:eastAsia="Arial" w:hAnsi="Arial"/>
                <w:sz w:val="18"/>
                <w:szCs w:val="18"/>
                <w:b w:val="1"/>
                <w:bCs w:val="1"/>
                <w:color w:val="auto"/>
              </w:rPr>
              <w:t>Outstanding Equity Awards at Fiscal Year-End as of December 31, 2020</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Option Awards</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Stock Awards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Market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Plan Awards: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Value of</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or Units of</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Shares or</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Units of</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Units or</w:t>
            </w: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That Have</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Rights That</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Not</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That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Rights That</w:t>
            </w:r>
          </w:p>
        </w:tc>
        <w:tc>
          <w:tcPr>
            <w:tcW w:w="1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Options (#)</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3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Have Not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1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Price ($)</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w:t>
            </w:r>
          </w:p>
        </w:tc>
        <w:tc>
          <w:tcPr>
            <w:tcW w:w="36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 xml:space="preserve">Vested </w:t>
            </w: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r>
      <w:tr>
        <w:trPr>
          <w:trHeight w:val="209"/>
        </w:trPr>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Sam</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Klepfish</w:t>
            </w: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300,000 (a) $   87,000 (b)</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firstLine="8"/>
        <w:spacing w:after="0" w:line="263"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stock awards vest according to the following schedule: An additional 125,000 restricted stock awards will vest contingent upon the attainment of a stock price of $2.00 per share for 20 consecutive trading days, and an additional 175,000 restricted stock awards will vest contingent upon the attainment of a stock price of $3.00 per share for 20 consecutive trading days.</w:t>
      </w:r>
    </w:p>
    <w:p>
      <w:pPr>
        <w:spacing w:after="0" w:line="183" w:lineRule="exact"/>
        <w:rPr>
          <w:rFonts w:ascii="Arial" w:cs="Arial" w:eastAsia="Arial" w:hAnsi="Arial"/>
          <w:sz w:val="18"/>
          <w:szCs w:val="18"/>
          <w:color w:val="auto"/>
        </w:rPr>
      </w:pPr>
    </w:p>
    <w:p>
      <w:pPr>
        <w:ind w:right="400" w:firstLine="8"/>
        <w:spacing w:after="0" w:line="277"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shown in the table by $ 0.29 per share, which is the closing price of common stock on December 31, 2020 (the last trading day of the 2019 fiscal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8"/>
              </w:rPr>
              <w:t>Director Compensation</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Fees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Nonqualified</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Earned</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Non-Equity</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Deferred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or Paid</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Stock</w:t>
            </w:r>
          </w:p>
        </w:tc>
        <w:tc>
          <w:tcPr>
            <w:tcW w:w="420" w:type="dxa"/>
            <w:vAlign w:val="bottom"/>
          </w:tcPr>
          <w:p>
            <w:pPr>
              <w:spacing w:after="0"/>
              <w:rPr>
                <w:sz w:val="18"/>
                <w:szCs w:val="18"/>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4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Incentive Plan</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Compensation</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All Other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 Cash</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Awards</w:t>
            </w:r>
          </w:p>
        </w:tc>
        <w:tc>
          <w:tcPr>
            <w:tcW w:w="420" w:type="dxa"/>
            <w:vAlign w:val="bottom"/>
          </w:tcPr>
          <w:p>
            <w:pPr>
              <w:spacing w:after="0"/>
              <w:rPr>
                <w:sz w:val="18"/>
                <w:szCs w:val="18"/>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Awards</w:t>
            </w:r>
          </w:p>
        </w:tc>
        <w:tc>
          <w:tcPr>
            <w:tcW w:w="4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Compensation</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Earnings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0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34,120</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99,120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Sam Klepfish</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34,120</w:t>
            </w:r>
          </w:p>
        </w:tc>
        <w:tc>
          <w:tcPr>
            <w:tcW w:w="400" w:type="dxa"/>
            <w:vAlign w:val="bottom"/>
          </w:tcPr>
          <w:p>
            <w:pPr>
              <w:ind w:left="40"/>
              <w:spacing w:after="0"/>
              <w:rPr>
                <w:sz w:val="20"/>
                <w:szCs w:val="20"/>
                <w:color w:val="auto"/>
              </w:rPr>
            </w:pPr>
            <w:r>
              <w:rPr>
                <w:rFonts w:ascii="Arial" w:cs="Arial" w:eastAsia="Arial" w:hAnsi="Arial"/>
                <w:sz w:val="18"/>
                <w:szCs w:val="18"/>
                <w:color w:val="auto"/>
              </w:rPr>
              <w:t>(b)</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34,120</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Hank Cohn</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34,120</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99,120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Justin Wiernasz</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34,120</w:t>
            </w:r>
          </w:p>
        </w:tc>
        <w:tc>
          <w:tcPr>
            <w:tcW w:w="400" w:type="dxa"/>
            <w:vAlign w:val="bottom"/>
          </w:tcPr>
          <w:p>
            <w:pPr>
              <w:ind w:left="40"/>
              <w:spacing w:after="0"/>
              <w:rPr>
                <w:sz w:val="20"/>
                <w:szCs w:val="20"/>
                <w:color w:val="auto"/>
              </w:rPr>
            </w:pPr>
            <w:r>
              <w:rPr>
                <w:rFonts w:ascii="Arial" w:cs="Arial" w:eastAsia="Arial" w:hAnsi="Arial"/>
                <w:sz w:val="18"/>
                <w:szCs w:val="18"/>
                <w:color w:val="auto"/>
              </w:rPr>
              <w:t>(b)</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34,120</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David Polinsky</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3,802</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James C. Pappas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400" w:type="dxa"/>
            <w:vAlign w:val="bottom"/>
          </w:tcPr>
          <w:p>
            <w:pPr>
              <w:ind w:left="40"/>
              <w:spacing w:after="0"/>
              <w:rPr>
                <w:sz w:val="20"/>
                <w:szCs w:val="20"/>
                <w:color w:val="auto"/>
              </w:rPr>
            </w:pPr>
            <w:r>
              <w:rPr>
                <w:rFonts w:ascii="Arial" w:cs="Arial" w:eastAsia="Arial" w:hAnsi="Arial"/>
                <w:sz w:val="18"/>
                <w:szCs w:val="18"/>
                <w:color w:val="auto"/>
              </w:rPr>
              <w:t>(d)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Mark Schmulen</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w:t>
            </w:r>
          </w:p>
        </w:tc>
      </w:tr>
    </w:tbl>
    <w:p>
      <w:pPr>
        <w:spacing w:after="0" w:line="202" w:lineRule="exact"/>
        <w:rPr>
          <w:sz w:val="20"/>
          <w:szCs w:val="20"/>
          <w:color w:val="auto"/>
        </w:rPr>
      </w:pPr>
    </w:p>
    <w:p>
      <w:pPr>
        <w:jc w:val="both"/>
        <w:ind w:firstLine="8"/>
        <w:spacing w:after="0" w:line="263" w:lineRule="auto"/>
        <w:tabs>
          <w:tab w:leader="none" w:pos="2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 2020 for 90,000 shares of the Company’s common stock with a fair value of $45,000; 55,545 shares of the Company’s common stock with a fair value of $18,515 vesting over a three-year period; and 64,240 shares of the Company’s common stock with a fair value of $30,000 vesting over a three-year period.</w:t>
      </w:r>
    </w:p>
    <w:p>
      <w:pPr>
        <w:spacing w:after="0" w:line="183" w:lineRule="exact"/>
        <w:rPr>
          <w:rFonts w:ascii="Arial" w:cs="Arial" w:eastAsia="Arial" w:hAnsi="Arial"/>
          <w:sz w:val="18"/>
          <w:szCs w:val="18"/>
          <w:color w:val="auto"/>
        </w:rPr>
      </w:pPr>
    </w:p>
    <w:p>
      <w:pPr>
        <w:jc w:val="both"/>
        <w:ind w:firstLine="8"/>
        <w:spacing w:after="0" w:line="259"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31,2020 for the following: (i) five-year options to purchase 90,000 shares of the Company’s common stock at a price of $0.62 per share, vesting over three years; (ii) five-year options to purchase 135,000 shares of the Company’s common stock at a price of $0.85 per share, vesting over three years; and (iii) five year options to purchase 225,000 shares of the Company’s common stock at a price of $1.20 per share, vesting over three years.</w:t>
      </w:r>
    </w:p>
    <w:p>
      <w:pPr>
        <w:spacing w:after="0" w:line="186" w:lineRule="exact"/>
        <w:rPr>
          <w:rFonts w:ascii="Arial" w:cs="Arial" w:eastAsia="Arial" w:hAnsi="Arial"/>
          <w:sz w:val="18"/>
          <w:szCs w:val="18"/>
          <w:color w:val="auto"/>
        </w:rPr>
      </w:pPr>
    </w:p>
    <w:p>
      <w:pPr>
        <w:ind w:firstLine="8"/>
        <w:spacing w:after="0" w:line="277" w:lineRule="auto"/>
        <w:tabs>
          <w:tab w:leader="none" w:pos="2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 2020 for three-year options to purchase 50,000 shares of the Company’s common stock at a price of $1.20 per share, vesting over one year.</w:t>
      </w:r>
    </w:p>
    <w:p>
      <w:pPr>
        <w:spacing w:after="0" w:line="170" w:lineRule="exact"/>
        <w:rPr>
          <w:rFonts w:ascii="Arial" w:cs="Arial" w:eastAsia="Arial" w:hAnsi="Arial"/>
          <w:sz w:val="18"/>
          <w:szCs w:val="18"/>
          <w:color w:val="auto"/>
        </w:rPr>
      </w:pPr>
    </w:p>
    <w:p>
      <w:pPr>
        <w:ind w:firstLine="8"/>
        <w:spacing w:after="0" w:line="277" w:lineRule="auto"/>
        <w:tabs>
          <w:tab w:leader="none" w:pos="2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 2020 for two-year options to purchase 50,000 shares of the Company’s common stock at a price of $1.20 per share, vesting over one year.</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subsidiary, Food Innovations, has employment agreements with certain officers and certain employees. The employment agreements provide for salaries and benefits, including stock grants and extend up to five years. In addition to salary and benefit provisions, the agreements include defined commitments should the employer terminate the employee with or without cause.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March 29, 2017, we entered into an employment agreement with Mr. Sam Klepfish, our CEO. This agreement, which ran through December 31, 2019, maintained the then-current base salary and provided for all bonuses and salary increases to be approved by the compensation committee.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28, 2019, upon approval by the Company’s compensation committee comprised solely of independent directors, we entered into a new employment agreement with Mr. Sam Klepfish having an effective date of January 28, 2019 and terminating three years thereafter with up to two two-year extension periods. The first two year extension period was exercised in 2021. The agreement provides a base salary in the amount of $300,000 with annual increases of at least $25,000 and annual stock compensation of 50% of the base salary. The agreement also provides for additional bonuses of up to 25% of base compensation, based on increases in EBITDA (as defined in the agreement) and increases in our stock price as reflected in our market capitalization and other perquisites and benefits as detailed therein. The agreement also contains change of control, confidentiality, non-compete and non-solicitation provisions.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JUSTIN WIERNASZ</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29, 2017, we entered into an employment agreement with Mr. Wiernasz, our Director of Strategic Acquisitions. This agreement, which ran through December 31, 2019, maintained the current base salary and provided for all bonuses and salary increases to be approved by the compensation committee.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January 28, 2019, upon approval by the Company’s compensation committee, we entered into a new employment agreement with Mr. Justin Wiernasz, having an effective date of January 28, 2019 and terminating three years thereafter with up to two extension periods; one for two years and one for one year. The agreement provides a base salary in the amount of $326,000 with annual increases of at least 5% and annual stock compensation of 5% of the base salary. This agreement was further modified to a base salary of $350,000 in 2019. The agreement also provides for additional bonuses of up to 35% of base compensation, and based upon increases in our stock price as reflected in our market capitalization and other perquisites and benefits as detailed therein. The agreement also contains change of control, confidentiality, non-compete and non-solicitation provisions.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29, 2020, we entered into a letter agreement with Mr. Richard Tang to become our CFO. The agreement provides a base salary in the amount of $200,000 for 2021 and base compensation for 2022 to target an increase of 20%-25% with a targeted 15-20% bonus structure based on milestones to be determined by the Company’s Board of Directors in its sole discretion. For 2021, Mr. Tang will have the opportunity to earn a performance stock bonus of $40,000 and a cash bonus of $25,000 based upon satisfying certain specified milestones and an additional bonus equal to up to 10% of combined base salary and bonus based upon criteria to be determined by the Company’s Board of Directors. The agreement also provided for a one-time stock option grant in the amount of 100,000 shares (half of which is exercisable $0.60 and half at $1.00), which vests in two years. Similar to our other employees, Mr. Tang’s employment is at-will and he is subject to the Company’s rules, regulations and policies, including specifically and without limitation, confidentiality and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Interlocks and Insider Participation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April 15, 2021, with respect to the beneficial ownership of our common stock by (1) each person known by us to own beneficially more than 5% of the outstanding shares of our common stock, (2) each of our directors, (3) each Named Officer, and (4) all our directors and executive officers as a group. Unless otherwise stated, each person listed below uses the Company’s address. Pursuant to SEC rules, includes shares that the person has the right to receive within 60 days from May 11,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Number of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660" w:type="dxa"/>
            <w:vAlign w:val="bottom"/>
          </w:tcPr>
          <w:p>
            <w:pPr>
              <w:spacing w:after="0"/>
              <w:rPr>
                <w:sz w:val="20"/>
                <w:szCs w:val="20"/>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Beneficially Owned</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Percent of Class</w:t>
            </w:r>
          </w:p>
        </w:tc>
      </w:tr>
      <w:tr>
        <w:trPr>
          <w:trHeight w:val="210"/>
        </w:trPr>
        <w:tc>
          <w:tcPr>
            <w:tcW w:w="69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Sam Klepfish (Officer, Director)</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3,540,204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Joel Gold (Director)</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829,997</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Justin Wiernasz (Officer, Director)</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1,993,364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Richard Tang (Officer)</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Hank Cohn (Director)</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705,943</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David Polinsky (Director)</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699,650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James C. Pappas (Director)</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4,724,935</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Mark Schmulen (Director)</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 group consisting of Denver J. Smith, CRC Founders Fund, LP, Donald E. Smith, Richard G.</w:t>
            </w:r>
          </w:p>
        </w:tc>
        <w:tc>
          <w:tcPr>
            <w:tcW w:w="6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2"/>
              </w:rPr>
              <w:t>Hill, Samuel N. Jurrens, 73114 Investments, LLC, Youth Properties, LLC, and Paratus Capital,</w:t>
            </w: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2,774,620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Insight Wealth Management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2,913,021</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whole (7 persons)</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9,774,043</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bl>
    <w:p>
      <w:pPr>
        <w:spacing w:after="0" w:line="202" w:lineRule="exact"/>
        <w:rPr>
          <w:sz w:val="20"/>
          <w:szCs w:val="20"/>
          <w:color w:val="auto"/>
        </w:rPr>
      </w:pPr>
    </w:p>
    <w:p>
      <w:pPr>
        <w:ind w:left="460" w:hanging="452"/>
        <w:spacing w:after="0" w:line="25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312,500 shares of common stock exercisable at June 15, 2021. Also includes 16,250 shares of common stock owned by Mr. Klepfish's spouse, ownership of which is disclaimed by Mr. Klepfish.</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312,500 shares of common stock exercisable at June 15, 2021. Also includes 18,400 shares of common stock held by Mr. Gold’s spouse.</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312,500 shares of common stock exercisable at June 15, 2021.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12,500 shares of common stock exercisable at June 15, 2021.</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options to purchase 50,000 shares of common stock exercisable at June 15, 2021.</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4,561,443 shares held by JCP Investment Partnership, LP and 113,492 shares held by JCP Investment Management, LLC. This information gathered from a Schedule 13D/A filed with the Securities and Exchange Commission on September 17, 2020. Also includes options to purchase 50,000 shares of common stock exercisable at June 15, 2021. The address of JCP Investment Partnership, LP and JCP Investment Management, LLC is 1177 West Loop South, suite 1320, Houston, TX 77027. Information gathered from a Schedule 13D/A filed with the Securities and Exchange Commission on February 27, 2019.</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a Schedule 13D/A filed on January 11, 2021 with the Securities and Exchange Commission, Mr. Denver Smith is part of a group which reports beneficially owning an aggregate of 2,774,620, although Mr. Denver Smith only has sole voting and dispositive power over 765,637 of such shares. Mr. Smith’s address is 350 S Race Street, Denver, Colorado 80209.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a Schedule 13G filed on February 8, 2021 with the Securities Exchange Commission, the address of The Address of Insight Wealth</w:t>
      </w:r>
    </w:p>
    <w:p>
      <w:pPr>
        <w:spacing w:after="0" w:line="32"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Management is 1175 Peachtree St NE Suite 350, Atlanta, GA 30361. Amount consists of 1,233,273 shares with sole voting and dispositive power, and 1,679,748 shares with shared dispositive power. The issuer retains sole voting power for 1,679,748 shares.</w:t>
      </w:r>
    </w:p>
    <w:p>
      <w:pPr>
        <w:spacing w:after="0" w:line="1" w:lineRule="exact"/>
        <w:rPr>
          <w:sz w:val="20"/>
          <w:szCs w:val="20"/>
          <w:color w:val="auto"/>
        </w:rPr>
      </w:pPr>
    </w:p>
    <w:p>
      <w:pPr>
        <w:ind w:left="460" w:hanging="452"/>
        <w:spacing w:after="0" w:line="26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11,144,093 shares of common stock held by officers and directors. Also includes options to purchase 1,412,500 shares of common stock exercisable at June 15,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not currently subject to the requirements of any stock exchange or national securities association with respect to having a majority of “independent directors”. Messrs. Gold, Cohn, Polinsky, Pappas and Schmulen are “independent” and only Messrs. Klepfish and Wiernasz, by virtue of being our Officers, are not independent. Mr. Klepfish and Mr. Wiernasz do not participate in board discussions concerning their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engaged Liggett &amp; Webb P.A. (“LW”) as our independent registered public accounting firm since November 9, 2012. During the year ended December 31, 2020 and 2019, LW billed us audit fees of approximately $144,000 and $144,000,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Audit-Related Fees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aggregate fees billed in each of the last two fiscal years for assurance and related services by LW that are reasonably related to the performance of the audit or review of our consolidated financial statements including our quarterly interim reviews on Form 10-Q and are reported under Audit Fees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LW tax fees were $20,000 and $20,000 for the years ended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LW has not billed any other fees since their engagement on November 9, 2012.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fiscal years ended December 31, 2020 and 2019 the board of directors considered the audit fees, audit-related fees, tax fees and other fees paid to our accountants, as disclosed above, and determined that the payment of such fees was compatible with maintaining the independence of the accountants. Our board of directors pre-approves all auditing services and all permitted non-auditing services (including the fees and terms thereof) to be performed by our independent registered public accounting firm, except for de minimis non-audit services that are approved by the board of directors prior to the completion of the audit.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058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Articles of Incorporation (incorporated by reference to exhibit 3.1 of the Company’s annual report on Form 10-KSB for the year ended</w:t>
              </w:r>
            </w:hyperlink>
          </w:p>
        </w:tc>
      </w:tr>
      <w:tr>
        <w:trPr>
          <w:trHeight w:val="196"/>
        </w:trPr>
        <w:tc>
          <w:tcPr>
            <w:tcW w:w="128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December 31, 2004 filed with the Securities and Exchange Commission on September 28, 2005)</w:t>
              </w:r>
            </w:hyperlink>
          </w:p>
        </w:tc>
        <w:tc>
          <w:tcPr>
            <w:tcW w:w="3000" w:type="dxa"/>
            <w:vAlign w:val="bottom"/>
            <w:gridSpan w:val="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Amended Bylaws of the Company (incorporated by reference to exhibit 3.2 of the Company’s annual report Form 10-K for the year ended</w:t>
              </w:r>
            </w:hyperlink>
          </w:p>
        </w:tc>
      </w:tr>
      <w:tr>
        <w:trPr>
          <w:trHeight w:val="196"/>
        </w:trPr>
        <w:tc>
          <w:tcPr>
            <w:tcW w:w="1280" w:type="dxa"/>
            <w:vAlign w:val="bottom"/>
          </w:tcPr>
          <w:p>
            <w:pPr>
              <w:spacing w:after="0"/>
              <w:rPr>
                <w:sz w:val="17"/>
                <w:szCs w:val="17"/>
                <w:color w:val="auto"/>
              </w:rPr>
            </w:pPr>
          </w:p>
        </w:tc>
        <w:tc>
          <w:tcPr>
            <w:tcW w:w="6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December 31, 2010 filed with the Securities and Exchange Commission on March 16, 2011)</w:t>
              </w:r>
            </w:hyperlink>
          </w:p>
        </w:tc>
        <w:tc>
          <w:tcPr>
            <w:tcW w:w="3300" w:type="dxa"/>
            <w:vAlign w:val="bottom"/>
            <w:gridSpan w:val="8"/>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16"/>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Amended Bylaws of the Company (incorporated by reference to exhibit 3.2 of the Company’s current report Form 8-K filed with the</w:t>
              </w:r>
            </w:hyperlink>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Securities and Exchange Commission on January 23, 2018)</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7"/>
              </w:rPr>
            </w:pPr>
            <w:hyperlink r:id="rId93">
              <w:r>
                <w:rPr>
                  <w:rFonts w:ascii="Arial" w:cs="Arial" w:eastAsia="Arial" w:hAnsi="Arial"/>
                  <w:sz w:val="18"/>
                  <w:szCs w:val="18"/>
                  <w:color w:val="0000EE"/>
                  <w:w w:val="97"/>
                </w:rPr>
                <w:t>Employment Agreement with Sam Klepfish (incorporated by reference to exhibit 10.1 of the Company’s Form 10-Q filed with the</w:t>
              </w:r>
            </w:hyperlink>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Securities and Exchange Commission on November 21, 2012)</w:t>
              </w:r>
            </w:hyperlink>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Employment Agreement Justin Wiernasz (incorporated by reference to exhibit 10.2 of the Company’s Form 10-Q filed with the Securities</w:t>
              </w:r>
            </w:hyperlink>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and Exchange Commission on November 21, 2012)</w:t>
              </w:r>
            </w:hyperlink>
          </w:p>
        </w:tc>
        <w:tc>
          <w:tcPr>
            <w:tcW w:w="6220" w:type="dxa"/>
            <w:vAlign w:val="bottom"/>
            <w:gridSpan w:val="1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Loan Agreement between the registrant and Fifth Third Bank effective February 26, 2013 (incorporated by reference to exhibit 10.1 of the</w:t>
              </w:r>
            </w:hyperlink>
          </w:p>
        </w:tc>
      </w:tr>
      <w:tr>
        <w:trPr>
          <w:trHeight w:val="196"/>
        </w:trPr>
        <w:tc>
          <w:tcPr>
            <w:tcW w:w="1280" w:type="dxa"/>
            <w:vAlign w:val="bottom"/>
          </w:tcPr>
          <w:p>
            <w:pPr>
              <w:spacing w:after="0"/>
              <w:rPr>
                <w:sz w:val="17"/>
                <w:szCs w:val="17"/>
                <w:color w:val="auto"/>
              </w:rPr>
            </w:pPr>
          </w:p>
        </w:tc>
        <w:tc>
          <w:tcPr>
            <w:tcW w:w="8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Company’s Current Report on Form 8-K filed with the Securities and Exchange Commission on March 15, 2013)</w:t>
              </w:r>
            </w:hyperlink>
          </w:p>
        </w:tc>
        <w:tc>
          <w:tcPr>
            <w:tcW w:w="1780" w:type="dxa"/>
            <w:vAlign w:val="bottom"/>
            <w:gridSpan w:val="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Security Agreement between the registrant and Fifth Third Bank effective February 26, 2013 (incorporated by reference to exhibit 10.2 of</w:t>
              </w:r>
            </w:hyperlink>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the Company’s Current Report on Form 8-K filed with the Securities and Exchange Commission on March 15, 2013)</w:t>
              </w:r>
            </w:hyperlink>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9"/>
              </w:rPr>
            </w:pPr>
            <w:hyperlink r:id="rId97">
              <w:r>
                <w:rPr>
                  <w:rFonts w:ascii="Arial" w:cs="Arial" w:eastAsia="Arial" w:hAnsi="Arial"/>
                  <w:sz w:val="18"/>
                  <w:szCs w:val="18"/>
                  <w:color w:val="0000EE"/>
                  <w:w w:val="99"/>
                </w:rPr>
                <w:t>Mortgage by registrant in favor of Fifth Third Bank effective February 26, 2013 (incorporated by reference to exhibit 10.3 of the</w:t>
              </w:r>
            </w:hyperlink>
          </w:p>
        </w:tc>
      </w:tr>
      <w:tr>
        <w:trPr>
          <w:trHeight w:val="196"/>
        </w:trPr>
        <w:tc>
          <w:tcPr>
            <w:tcW w:w="1280" w:type="dxa"/>
            <w:vAlign w:val="bottom"/>
          </w:tcPr>
          <w:p>
            <w:pPr>
              <w:spacing w:after="0"/>
              <w:rPr>
                <w:sz w:val="17"/>
                <w:szCs w:val="17"/>
                <w:color w:val="auto"/>
              </w:rPr>
            </w:pPr>
          </w:p>
        </w:tc>
        <w:tc>
          <w:tcPr>
            <w:tcW w:w="8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Company’s Current Report on Form 8-K filed with the Securities and Exchange Commission on March 15, 2013)</w:t>
              </w:r>
            </w:hyperlink>
          </w:p>
        </w:tc>
        <w:tc>
          <w:tcPr>
            <w:tcW w:w="1780" w:type="dxa"/>
            <w:vAlign w:val="bottom"/>
            <w:gridSpan w:val="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9960" w:type="dxa"/>
            <w:vAlign w:val="bottom"/>
            <w:gridSpan w:val="16"/>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Note by registrant in favor of Fifth Third Bank effective February 26, 2013 (incorporated by reference to exhibit 10.4 of the Company’s</w:t>
              </w:r>
            </w:hyperlink>
          </w:p>
        </w:tc>
      </w:tr>
      <w:tr>
        <w:trPr>
          <w:trHeight w:val="196"/>
        </w:trPr>
        <w:tc>
          <w:tcPr>
            <w:tcW w:w="128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Current Report on Form 8-K filed with the Securities and Exchange Commission on March 15, 2013)</w:t>
              </w:r>
            </w:hyperlink>
          </w:p>
        </w:tc>
        <w:tc>
          <w:tcPr>
            <w:tcW w:w="26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Employment Agreement with Sam Klepfish dated as of March 29, 2017 (incorporated by reference to the Company’s Form 10-K filed</w:t>
              </w:r>
            </w:hyperlink>
          </w:p>
        </w:tc>
      </w:tr>
      <w:tr>
        <w:trPr>
          <w:trHeight w:val="196"/>
        </w:trPr>
        <w:tc>
          <w:tcPr>
            <w:tcW w:w="128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with the Securities and Exchange Commission on March 30, 2017)</w:t>
              </w:r>
            </w:hyperlink>
          </w:p>
        </w:tc>
        <w:tc>
          <w:tcPr>
            <w:tcW w:w="5120" w:type="dxa"/>
            <w:vAlign w:val="bottom"/>
            <w:gridSpan w:val="9"/>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Employment Agreement with Justin Wiernasz dated as of March 29, 2017 (incorporated by reference to the Company’s Form 10-K filed</w:t>
              </w:r>
            </w:hyperlink>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with the Securities and Exchange Commission on March 30, 2017)</w:t>
              </w:r>
            </w:hyperlink>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Asset Purchase Agreement dated as of January 22, 2018 by and among Innovative Gourmet, LLC, a subsidiary of the registrant, and</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igourmet LLC and igourmet NY LLC (incorporated by reference to the Company’s Form 8-K filed with the Securities and Exchange</w:t>
              </w:r>
            </w:hyperlink>
          </w:p>
        </w:tc>
      </w:tr>
      <w:tr>
        <w:trPr>
          <w:trHeight w:val="196"/>
        </w:trPr>
        <w:tc>
          <w:tcPr>
            <w:tcW w:w="1280" w:type="dxa"/>
            <w:vAlign w:val="bottom"/>
          </w:tcPr>
          <w:p>
            <w:pPr>
              <w:spacing w:after="0"/>
              <w:rPr>
                <w:sz w:val="17"/>
                <w:szCs w:val="17"/>
                <w:color w:val="auto"/>
              </w:rPr>
            </w:pPr>
          </w:p>
        </w:tc>
        <w:tc>
          <w:tcPr>
            <w:tcW w:w="24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Commission on January 30, 2018)</w:t>
              </w:r>
            </w:hyperlink>
          </w:p>
        </w:tc>
        <w:tc>
          <w:tcPr>
            <w:tcW w:w="7480" w:type="dxa"/>
            <w:vAlign w:val="bottom"/>
            <w:gridSpan w:val="1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Loan Sale Agreement dated as of January 10, 2018 between Food Funding, LLC, a subsidiary of the registrant and UPS Capital Business</w:t>
              </w:r>
            </w:hyperlink>
          </w:p>
        </w:tc>
      </w:tr>
      <w:tr>
        <w:trPr>
          <w:trHeight w:val="196"/>
        </w:trPr>
        <w:tc>
          <w:tcPr>
            <w:tcW w:w="1280" w:type="dxa"/>
            <w:vAlign w:val="bottom"/>
          </w:tcPr>
          <w:p>
            <w:pPr>
              <w:spacing w:after="0"/>
              <w:rPr>
                <w:sz w:val="17"/>
                <w:szCs w:val="17"/>
                <w:color w:val="auto"/>
              </w:rPr>
            </w:pPr>
          </w:p>
        </w:tc>
        <w:tc>
          <w:tcPr>
            <w:tcW w:w="98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Credit (incorporated by reference to the Company’s Form 8-K filed with the Securities and Exchange Commission on January 30, 2018)</w:t>
              </w:r>
            </w:hyperlink>
          </w:p>
        </w:tc>
        <w:tc>
          <w:tcPr>
            <w:tcW w:w="140" w:type="dxa"/>
            <w:vAlign w:val="bottom"/>
            <w:gridSpan w:val="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9960" w:type="dxa"/>
            <w:vAlign w:val="bottom"/>
            <w:tcBorders>
              <w:bottom w:val="single" w:sz="8" w:color="0000EE"/>
            </w:tcBorders>
            <w:gridSpan w:val="16"/>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Fifth Amendment to Restated Loan Agreement dated February 28, 2018 between Fifth Third Bank and the registrant and its</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subsidiaries (incorporated by reference to the Company’s Form 10-K filed with the Securities and Exchange Commission on March 29,</w:t>
              </w:r>
            </w:hyperlink>
          </w:p>
        </w:tc>
      </w:tr>
      <w:tr>
        <w:trPr>
          <w:trHeight w:val="196"/>
        </w:trPr>
        <w:tc>
          <w:tcPr>
            <w:tcW w:w="12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03">
              <w:r>
                <w:rPr>
                  <w:rFonts w:ascii="Arial" w:cs="Arial" w:eastAsia="Arial" w:hAnsi="Arial"/>
                  <w:sz w:val="18"/>
                  <w:szCs w:val="18"/>
                  <w:color w:val="0000EE"/>
                  <w:w w:val="86"/>
                </w:rPr>
                <w:t>2018).</w:t>
              </w:r>
            </w:hyperlink>
          </w:p>
        </w:tc>
        <w:tc>
          <w:tcPr>
            <w:tcW w:w="2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7"/>
              </w:rPr>
            </w:pPr>
            <w:hyperlink r:id="rId104">
              <w:r>
                <w:rPr>
                  <w:rFonts w:ascii="Arial" w:cs="Arial" w:eastAsia="Arial" w:hAnsi="Arial"/>
                  <w:sz w:val="18"/>
                  <w:szCs w:val="18"/>
                  <w:color w:val="0000EE"/>
                  <w:w w:val="97"/>
                </w:rPr>
                <w:t>Promissory Note of the registrant and its subsidiaries in favor of Fifth Third Bank dated as of February 28, 2018 (incorporated by</w:t>
              </w:r>
            </w:hyperlink>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the Company’s Form 10-K filed with the Securities and Exchange Commission on March 29, 2018).</w:t>
              </w:r>
            </w:hyperlink>
          </w:p>
        </w:tc>
      </w:tr>
      <w:tr>
        <w:trPr>
          <w:trHeight w:val="453"/>
        </w:trPr>
        <w:tc>
          <w:tcPr>
            <w:tcW w:w="1280" w:type="dxa"/>
            <w:vAlign w:val="bottom"/>
          </w:tcPr>
          <w:p>
            <w:pPr>
              <w:spacing w:after="0"/>
              <w:rPr>
                <w:sz w:val="24"/>
                <w:szCs w:val="24"/>
                <w:color w:val="auto"/>
              </w:rPr>
            </w:pPr>
          </w:p>
        </w:tc>
        <w:tc>
          <w:tcPr>
            <w:tcW w:w="4480" w:type="dxa"/>
            <w:vAlign w:val="bottom"/>
            <w:tcBorders>
              <w:top w:val="single" w:sz="8" w:color="0000EE"/>
            </w:tcBorders>
            <w:gridSpan w:val="5"/>
          </w:tcPr>
          <w:p>
            <w:pPr>
              <w:ind w:left="4260"/>
              <w:spacing w:after="0"/>
              <w:rPr>
                <w:sz w:val="20"/>
                <w:szCs w:val="20"/>
                <w:color w:val="auto"/>
              </w:rPr>
            </w:pPr>
            <w:r>
              <w:rPr>
                <w:rFonts w:ascii="Arial" w:cs="Arial" w:eastAsia="Arial" w:hAnsi="Arial"/>
                <w:sz w:val="18"/>
                <w:szCs w:val="18"/>
                <w:color w:val="auto"/>
                <w:w w:val="99"/>
              </w:rPr>
              <w:t>71</w:t>
            </w: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10.13</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Draw Promissory Note of the registrant and its subsidiaries in favor of Fifth Third Bank dated as of March 13, 2018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reference to the Company’s Form 10-K filed with the Securities and Exchange Commission on March 29, 2018).</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10.14</w:t>
            </w:r>
          </w:p>
        </w:tc>
        <w:tc>
          <w:tcPr>
            <w:tcW w:w="740" w:type="dxa"/>
            <w:vAlign w:val="bottom"/>
          </w:tcPr>
          <w:p>
            <w:pPr>
              <w:spacing w:after="0"/>
              <w:rPr>
                <w:sz w:val="24"/>
                <w:szCs w:val="24"/>
                <w:color w:val="auto"/>
              </w:rPr>
            </w:pPr>
          </w:p>
        </w:tc>
        <w:tc>
          <w:tcPr>
            <w:tcW w:w="10080" w:type="dxa"/>
            <w:vAlign w:val="bottom"/>
            <w:gridSpan w:val="9"/>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Master Loan and Security Agreement dated March 13, 2018 between Fifth Third Bank and the registrant and its subsidiaries (incorporated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by reference to the Company’s Form 10-K filed with the Securities and Exchange Commission on March 29, 2018).</w:t>
              </w:r>
            </w:hyperlink>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10.15</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Employment Agreement with Sam Klepfish dated as of January 28, 2019 (incorporated by reference to the Company’s Form 8-K filed with</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the Securities and Exchange Commission on February 1, 2019)</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10.16</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Employment Agreement with Justin Wiernasz dated as of January 28, 2019 (incorporated by reference to the Company’s Form 8-K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with the Securities and Exchange Commission on February 1, 2019)</w:t>
              </w:r>
            </w:hyperlink>
          </w:p>
        </w:tc>
        <w:tc>
          <w:tcPr>
            <w:tcW w:w="5160" w:type="dxa"/>
            <w:vAlign w:val="bottom"/>
            <w:gridSpan w:val="5"/>
          </w:tcPr>
          <w:p>
            <w:pPr>
              <w:spacing w:after="0"/>
              <w:rPr>
                <w:sz w:val="17"/>
                <w:szCs w:val="17"/>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10.17</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Form of Director Agreement dated as of January 28, 2019 (incorporated by reference to the Company’s Form 8-K filed with the Securities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and Exchange Commission on February 1, 2019)</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10.18</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Eighth Amendment to Restated Loan Agreement dated as of November 9, 2019 between Fifth Third Bank, National Association, and the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Registrant and certain of its subsidiaries (incorporated by reference to the Company’s Form 10-Q filed with the Securities and Exchange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Commission on November 14, 2019).</w:t>
              </w:r>
            </w:hyperlink>
          </w:p>
        </w:tc>
        <w:tc>
          <w:tcPr>
            <w:tcW w:w="7360" w:type="dxa"/>
            <w:vAlign w:val="bottom"/>
            <w:gridSpan w:val="8"/>
          </w:tcPr>
          <w:p>
            <w:pPr>
              <w:spacing w:after="0"/>
              <w:rPr>
                <w:sz w:val="17"/>
                <w:szCs w:val="17"/>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10.19</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Promissory Note effective November 9, 2019 between Fifth Third Bank, National Association, and Innovative Food Properties, LLC, a</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wholly-owned subsidiary of the Registrant (incorporated by reference to the Company’s Form 10-Q filed with the Securities and Exchange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Commission on November 14, 2019).</w:t>
              </w:r>
            </w:hyperlink>
          </w:p>
        </w:tc>
        <w:tc>
          <w:tcPr>
            <w:tcW w:w="7360" w:type="dxa"/>
            <w:vAlign w:val="bottom"/>
            <w:gridSpan w:val="8"/>
          </w:tcPr>
          <w:p>
            <w:pPr>
              <w:spacing w:after="0"/>
              <w:rPr>
                <w:sz w:val="17"/>
                <w:szCs w:val="17"/>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10.20</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Mortgage, Assignment of Leases, Fixture Filing and Security Agreement date as of November 9, 2019 between Fifth Third Bank, National</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r:id="rId112">
              <w:r>
                <w:rPr>
                  <w:rFonts w:ascii="Arial" w:cs="Arial" w:eastAsia="Arial" w:hAnsi="Arial"/>
                  <w:sz w:val="18"/>
                  <w:szCs w:val="18"/>
                  <w:color w:val="0000EE"/>
                  <w:w w:val="98"/>
                </w:rPr>
                <w:t>Association, and Innovative Food Properties, LLC, a wholly-owned subsidiary of the Registrant (incorporated by reference to the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Company’s Form 10-Q filed with the Securities and Exchange Commission on November 14, 2019).</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w w:val="88"/>
              </w:rPr>
              <w:t>10.21</w:t>
            </w:r>
          </w:p>
        </w:tc>
        <w:tc>
          <w:tcPr>
            <w:tcW w:w="7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Agreement for Purchase and Sale of Real Estate dated as of August 9, 2019 (incorporated by reference to the Company’s Form 10-Q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with the Securities and Exchange Commission on August 14, 2019).</w:t>
              </w:r>
            </w:hyperlink>
          </w:p>
        </w:tc>
        <w:tc>
          <w:tcPr>
            <w:tcW w:w="5160" w:type="dxa"/>
            <w:vAlign w:val="bottom"/>
            <w:gridSpan w:val="5"/>
          </w:tcPr>
          <w:p>
            <w:pPr>
              <w:spacing w:after="0"/>
              <w:rPr>
                <w:sz w:val="17"/>
                <w:szCs w:val="17"/>
                <w:color w:val="auto"/>
              </w:rPr>
            </w:pPr>
          </w:p>
        </w:tc>
      </w:tr>
    </w:tbl>
    <w:p>
      <w:pPr>
        <w:spacing w:after="0" w:line="229" w:lineRule="exact"/>
        <w:rPr>
          <w:sz w:val="20"/>
          <w:szCs w:val="20"/>
          <w:color w:val="auto"/>
        </w:rPr>
      </w:pPr>
    </w:p>
    <w:p>
      <w:pPr>
        <w:ind w:left="1160" w:hanging="1152"/>
        <w:spacing w:after="0" w:line="277" w:lineRule="auto"/>
        <w:tabs>
          <w:tab w:leader="none" w:pos="1160" w:val="left"/>
        </w:tabs>
        <w:numPr>
          <w:ilvl w:val="0"/>
          <w:numId w:val="22"/>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Code of Ethics (incorporated by reference to exhibit 14 of the Company’s Form 10-KSB/A for the year ended December 31, 2006, filed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with the Securities and Exchange Commission on July 31, 2008)</w:t>
        </w:r>
      </w:hyperlink>
    </w:p>
    <w:p>
      <w:pPr>
        <w:spacing w:after="0" w:line="170" w:lineRule="exact"/>
        <w:rPr>
          <w:rFonts w:ascii="Arial" w:cs="Arial" w:eastAsia="Arial" w:hAnsi="Arial"/>
          <w:sz w:val="18"/>
          <w:szCs w:val="18"/>
          <w:color w:val="auto"/>
        </w:rPr>
      </w:pPr>
    </w:p>
    <w:p>
      <w:pPr>
        <w:ind w:left="1160" w:hanging="1152"/>
        <w:spacing w:after="0"/>
        <w:tabs>
          <w:tab w:leader="none" w:pos="1160" w:val="left"/>
        </w:tabs>
        <w:numPr>
          <w:ilvl w:val="0"/>
          <w:numId w:val="23"/>
        </w:numPr>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Subsidiaries of the Company</w:t>
        </w:r>
      </w:hyperlink>
    </w:p>
    <w:p>
      <w:pPr>
        <w:spacing w:after="0" w:line="208"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40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Rule 13a-14(a) Certification of Chief Executive Officer</w:t>
              </w:r>
            </w:hyperlink>
          </w:p>
        </w:tc>
        <w:tc>
          <w:tcPr>
            <w:tcW w:w="360" w:type="dxa"/>
            <w:vAlign w:val="bottom"/>
            <w:gridSpan w:val="2"/>
          </w:tcPr>
          <w:p>
            <w:pPr>
              <w:spacing w:after="0"/>
              <w:rPr>
                <w:sz w:val="18"/>
                <w:szCs w:val="18"/>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3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Rule 13a-14(a) Certification of Principal Accounting Officer</w:t>
              </w:r>
            </w:hyperlink>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3660" w:type="dxa"/>
            <w:vAlign w:val="bottom"/>
            <w:tcBorders>
              <w:bottom w:val="single" w:sz="8" w:color="0000EE"/>
            </w:tcBorders>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Rule 1350 Certification of Chief Executive Officer</w:t>
              </w:r>
            </w:hyperlink>
          </w:p>
        </w:tc>
        <w:tc>
          <w:tcPr>
            <w:tcW w:w="700" w:type="dxa"/>
            <w:vAlign w:val="bottom"/>
            <w:gridSpan w:val="3"/>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4360" w:type="dxa"/>
            <w:vAlign w:val="bottom"/>
            <w:gridSpan w:val="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Rule 1350 Certification of Principal Accounting Officer</w:t>
              </w:r>
            </w:hyperlink>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0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FOOD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Sam Klepfish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1260" w:type="dxa"/>
            <w:vAlign w:val="bottom"/>
          </w:tcPr>
          <w:p>
            <w:pPr>
              <w:spacing w:after="0"/>
              <w:rPr>
                <w:sz w:val="20"/>
                <w:szCs w:val="20"/>
                <w:color w:val="auto"/>
              </w:rPr>
            </w:pPr>
          </w:p>
        </w:tc>
        <w:tc>
          <w:tcPr>
            <w:tcW w:w="38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Title</w:t>
            </w:r>
          </w:p>
        </w:tc>
        <w:tc>
          <w:tcPr>
            <w:tcW w:w="1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2700" w:type="dxa"/>
            <w:vAlign w:val="bottom"/>
          </w:tcPr>
          <w:p>
            <w:pPr>
              <w:spacing w:after="0"/>
              <w:rPr>
                <w:sz w:val="20"/>
                <w:szCs w:val="20"/>
                <w:color w:val="auto"/>
              </w:rPr>
            </w:pPr>
            <w:r>
              <w:rPr>
                <w:rFonts w:ascii="Arial" w:cs="Arial" w:eastAsia="Arial" w:hAnsi="Arial"/>
                <w:sz w:val="18"/>
                <w:szCs w:val="18"/>
                <w:color w:val="auto"/>
              </w:rPr>
              <w:t>/s/ Sam Klepfish</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CEO and Director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Klepfish</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 Norma Vila</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Controller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Norma Vila</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Accounting Officer)</w:t>
            </w: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 Hank Cohn</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Hank Cohn</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 Justin Wiernasz</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Justin Wiernasz</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/s/David Polinsky</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Polinsky</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 James C. Pappas</w:t>
            </w:r>
          </w:p>
        </w:tc>
        <w:tc>
          <w:tcPr>
            <w:tcW w:w="5080" w:type="dxa"/>
            <w:vAlign w:val="bottom"/>
            <w:gridSpan w:val="2"/>
          </w:tcPr>
          <w:p>
            <w:pPr>
              <w:ind w:left="1260"/>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24"/>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C. Pappas</w:t>
            </w:r>
          </w:p>
        </w:tc>
        <w:tc>
          <w:tcPr>
            <w:tcW w:w="126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r>
      <w:tr>
        <w:trPr>
          <w:trHeight w:val="634"/>
        </w:trPr>
        <w:tc>
          <w:tcPr>
            <w:tcW w:w="2700" w:type="dxa"/>
            <w:vAlign w:val="bottom"/>
          </w:tcPr>
          <w:p>
            <w:pPr>
              <w:spacing w:after="0"/>
              <w:rPr>
                <w:sz w:val="24"/>
                <w:szCs w:val="24"/>
                <w:color w:val="auto"/>
              </w:rPr>
            </w:pPr>
          </w:p>
        </w:tc>
        <w:tc>
          <w:tcPr>
            <w:tcW w:w="5080" w:type="dxa"/>
            <w:vAlign w:val="bottom"/>
            <w:gridSpan w:val="2"/>
          </w:tcPr>
          <w:p>
            <w:pPr>
              <w:jc w:val="right"/>
              <w:ind w:right="1970"/>
              <w:spacing w:after="0"/>
              <w:rPr>
                <w:sz w:val="20"/>
                <w:szCs w:val="20"/>
                <w:color w:val="auto"/>
              </w:rPr>
            </w:pPr>
            <w:r>
              <w:rPr>
                <w:rFonts w:ascii="Arial" w:cs="Arial" w:eastAsia="Arial" w:hAnsi="Arial"/>
                <w:sz w:val="18"/>
                <w:szCs w:val="18"/>
                <w:color w:val="auto"/>
              </w:rPr>
              <w:t>73</w:t>
            </w: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SCHEDULE OF SUBSIDIARIES</w:t>
      </w:r>
    </w:p>
    <w:p>
      <w:pPr>
        <w:sectPr>
          <w:pgSz w:w="11900" w:h="16838" w:orient="portrait"/>
          <w:cols w:equalWidth="0" w:num="1">
            <w:col w:w="10139"/>
          </w:cols>
          <w:pgMar w:left="320" w:top="121"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Food Innovations,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Food New Media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 The Gourmet, Inc. (d/b/a/ For The Gourmet,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Gourmet Foodservice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Artisan Specialty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Haley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Gourmet Foodservice Warehouse,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Organic Food Brokers,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Gourmeting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Oasis Sales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Gourmet,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Logistics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Properties, LLC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Colorado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Liability Company</w:t>
      </w:r>
    </w:p>
    <w:p>
      <w:pPr>
        <w:sectPr>
          <w:pgSz w:w="11900" w:h="16838" w:orient="portrait"/>
          <w:cols w:equalWidth="0" w:num="2">
            <w:col w:w="4300" w:space="720"/>
            <w:col w:w="5119"/>
          </w:cols>
          <w:pgMar w:left="320" w:top="121"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 Klepfish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Norma Vila,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/s/Norma Vila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Norma Vila, Principal Accounting Officer</w:t>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Innovative Food Holdings, Inc. and Subsidiaries (the “Company”) on Form 10-K for the year ended December 31, 2020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 Klepfish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Innovative Food Holdings, Inc. and Subsidiaries (the “Company”) on Form 10-K for the year ended December 31, 2020 as filed with the Securities and Exchange Commission on the date hereof (the “Report”), I, Norma Vila, , Principal Accounting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/s/Norma Vila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Norma Vila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5"/>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8"/>
    </w:lvl>
  </w:abstractNum>
  <w:abstractNum w:abstractNumId="21">
    <w:nsid w:val="71F32454"/>
    <w:multiLevelType w:val="hybridMultilevel"/>
    <w:lvl w:ilvl="0">
      <w:lvlJc w:val="left"/>
      <w:lvlText w:val="%1"/>
      <w:numFmt w:val="decimal"/>
      <w:start w:val="14"/>
    </w:lvl>
  </w:abstractNum>
  <w:abstractNum w:abstractNumId="22">
    <w:nsid w:val="2CA88611"/>
    <w:multiLevelType w:val="hybridMultilevel"/>
    <w:lvl w:ilvl="0">
      <w:lvlJc w:val="left"/>
      <w:lvlText w:val="%1"/>
      <w:numFmt w:val="decimal"/>
      <w:start w:val="2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15" Type="http://schemas.openxmlformats.org/officeDocument/2006/relationships/image" Target="media/image83.png"/><Relationship Id="rId90" Type="http://schemas.openxmlformats.org/officeDocument/2006/relationships/hyperlink" Target="http://www.sec.gov/Archives/edgar/data/312257/000114420405030172/v025859_ex3-1.htm" TargetMode="External"/><Relationship Id="rId91" Type="http://schemas.openxmlformats.org/officeDocument/2006/relationships/hyperlink" Target="http://www.sec.gov/Archives/edgar/data/312257/000118518511000325/ex3-2.htm" TargetMode="External"/><Relationship Id="rId92" Type="http://schemas.openxmlformats.org/officeDocument/2006/relationships/hyperlink" Target="http://www.sec.gov/Archives/edgar/data/312257/000118518518000100/ex3-ii.htm" TargetMode="External"/><Relationship Id="rId93" Type="http://schemas.openxmlformats.org/officeDocument/2006/relationships/hyperlink" Target="http://www.sec.gov/Archives/edgar/data/312257/000118518512002655/ex10-1.htm" TargetMode="External"/><Relationship Id="rId94" Type="http://schemas.openxmlformats.org/officeDocument/2006/relationships/hyperlink" Target="http://www.sec.gov/Archives/edgar/data/312257/000118518512002655/ex10-2.htm" TargetMode="External"/><Relationship Id="rId95" Type="http://schemas.openxmlformats.org/officeDocument/2006/relationships/hyperlink" Target="http://www.sec.gov/Archives/edgar/data/312257/000118518513000490/ex10-1.htm" TargetMode="External"/><Relationship Id="rId96" Type="http://schemas.openxmlformats.org/officeDocument/2006/relationships/hyperlink" Target="http://www.sec.gov/Archives/edgar/data/312257/000118518513000490/ex10-2.htm" TargetMode="External"/><Relationship Id="rId97" Type="http://schemas.openxmlformats.org/officeDocument/2006/relationships/hyperlink" Target="http://www.sec.gov/Archives/edgar/data/312257/000118518513000490/ex10-3.htm" TargetMode="External"/><Relationship Id="rId98" Type="http://schemas.openxmlformats.org/officeDocument/2006/relationships/hyperlink" Target="http://www.sec.gov/Archives/edgar/data/312257/000118518513000490/ex10-4.htm" TargetMode="External"/><Relationship Id="rId99" Type="http://schemas.openxmlformats.org/officeDocument/2006/relationships/hyperlink" Target="http://www.sec.gov/Archives/edgar/data/312257/000118518517000701/ex10-24.htm" TargetMode="External"/><Relationship Id="rId100" Type="http://schemas.openxmlformats.org/officeDocument/2006/relationships/hyperlink" Target="http://www.sec.gov/Archives/edgar/data/312257/000118518517000701/ex10-25.htm" TargetMode="External"/><Relationship Id="rId101" Type="http://schemas.openxmlformats.org/officeDocument/2006/relationships/hyperlink" Target="http://www.sec.gov/Archives/edgar/data/312257/000118518518000131/ex10-1.htm" TargetMode="External"/><Relationship Id="rId102" Type="http://schemas.openxmlformats.org/officeDocument/2006/relationships/hyperlink" Target="http://www.sec.gov/Archives/edgar/data/312257/000118518518000131/ex10-2.htm" TargetMode="External"/><Relationship Id="rId103" Type="http://schemas.openxmlformats.org/officeDocument/2006/relationships/hyperlink" Target="http://www.sec.gov/Archives/edgar/data/312257/000118518518000523/ex10-28.htm" TargetMode="External"/><Relationship Id="rId104" Type="http://schemas.openxmlformats.org/officeDocument/2006/relationships/hyperlink" Target="http://www.sec.gov/Archives/edgar/data/312257/000118518518000523/ex10-29.htm" TargetMode="External"/><Relationship Id="rId105" Type="http://schemas.openxmlformats.org/officeDocument/2006/relationships/hyperlink" Target="http://www.sec.gov/Archives/edgar/data/312257/000118518518000523/ex10-30.htm" TargetMode="External"/><Relationship Id="rId106" Type="http://schemas.openxmlformats.org/officeDocument/2006/relationships/hyperlink" Target="http://www.sec.gov/Archives/edgar/data/312257/000118518518000523/ex10-31.htm" TargetMode="External"/><Relationship Id="rId107" Type="http://schemas.openxmlformats.org/officeDocument/2006/relationships/hyperlink" Target="http://www.sec.gov/Archives/edgar/data/312257/000118518519000138/ex_133864.htm" TargetMode="External"/><Relationship Id="rId108" Type="http://schemas.openxmlformats.org/officeDocument/2006/relationships/hyperlink" Target="http://www.sec.gov/Archives/edgar/data/312257/000118518519000138/ex_133865.htm" TargetMode="External"/><Relationship Id="rId109" Type="http://schemas.openxmlformats.org/officeDocument/2006/relationships/hyperlink" Target="http://www.sec.gov/Archives/edgar/data/312257/000118518519000138/ex_133866.htm" TargetMode="External"/><Relationship Id="rId110" Type="http://schemas.openxmlformats.org/officeDocument/2006/relationships/hyperlink" Target="http://www.sec.gov/Archives/edgar/data/312257/000118518519001610/ex_164754.htm" TargetMode="External"/><Relationship Id="rId111" Type="http://schemas.openxmlformats.org/officeDocument/2006/relationships/hyperlink" Target="http://www.sec.gov/Archives/edgar/data/312257/000118518519001610/ex_164951.htm" TargetMode="External"/><Relationship Id="rId112" Type="http://schemas.openxmlformats.org/officeDocument/2006/relationships/hyperlink" Target="http://www.sec.gov/Archives/edgar/data/312257/000118518519001610/ex_164952.htm" TargetMode="External"/><Relationship Id="rId113" Type="http://schemas.openxmlformats.org/officeDocument/2006/relationships/hyperlink" Target="http://www.sec.gov/Archives/edgar/data/312257/000118518519001152/ex_155331.htm" TargetMode="External"/><Relationship Id="rId114" Type="http://schemas.openxmlformats.org/officeDocument/2006/relationships/hyperlink" Target="http://www.sec.gov/Archives/edgar/data/312257/000118518508000587/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2021-04-15T16:39:15Z</dcterms:created>
  <dcterms:modified xsi:type="dcterms:W3CDTF">2021-04-15T16:39:15Z</dcterms:modified>
</cp:coreProperties>
</file>