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294005</wp:posOffset>
            </wp:positionH>
            <wp:positionV relativeFrom="page">
              <wp:posOffset>157480</wp:posOffset>
            </wp:positionV>
            <wp:extent cx="696087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0870" cy="25400"/>
                    </a:xfrm>
                    <a:prstGeom prst="rect">
                      <a:avLst/>
                    </a:prstGeom>
                    <a:noFill/>
                  </pic:spPr>
                </pic:pic>
              </a:graphicData>
            </a:graphic>
          </wp:anchor>
        </w:drawing>
        <w:drawing>
          <wp:anchor simplePos="0" relativeHeight="251657728" behindDoc="1" locked="0" layoutInCell="0" allowOverlap="1">
            <wp:simplePos x="0" y="0"/>
            <wp:positionH relativeFrom="page">
              <wp:posOffset>294005</wp:posOffset>
            </wp:positionH>
            <wp:positionV relativeFrom="page">
              <wp:posOffset>217805</wp:posOffset>
            </wp:positionV>
            <wp:extent cx="6960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087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141605</wp:posOffset>
            </wp:positionV>
            <wp:extent cx="702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3130550</wp:posOffset>
            </wp:positionH>
            <wp:positionV relativeFrom="paragraph">
              <wp:posOffset>163830</wp:posOffset>
            </wp:positionV>
            <wp:extent cx="702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left="3680" w:right="1900" w:hanging="1801"/>
        <w:spacing w:after="0" w:line="486" w:lineRule="auto"/>
        <w:tabs>
          <w:tab w:leader="none" w:pos="209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Quarterly report pursuant to Section 13 or15(d) of the Securities and Exchange Act of 1934 For the quarterly period ended </w:t>
      </w:r>
      <w:r>
        <w:rPr>
          <w:rFonts w:ascii="Times New Roman" w:cs="Times New Roman" w:eastAsia="Times New Roman" w:hAnsi="Times New Roman"/>
          <w:sz w:val="18"/>
          <w:szCs w:val="18"/>
          <w:b w:val="1"/>
          <w:bCs w:val="1"/>
          <w:u w:val="single" w:color="auto"/>
          <w:color w:val="auto"/>
        </w:rPr>
        <w:t>March 31, 2022</w:t>
      </w:r>
    </w:p>
    <w:p>
      <w:pPr>
        <w:spacing w:after="0" w:line="25" w:lineRule="exact"/>
        <w:rPr>
          <w:rFonts w:ascii="MS PGothic" w:cs="MS PGothic" w:eastAsia="MS PGothic" w:hAnsi="MS PGothic"/>
          <w:sz w:val="18"/>
          <w:szCs w:val="18"/>
          <w:color w:val="auto"/>
          <w:highlight w:val="black"/>
        </w:rPr>
      </w:pPr>
    </w:p>
    <w:p>
      <w:pPr>
        <w:ind w:left="2920" w:hanging="213"/>
        <w:spacing w:after="0"/>
        <w:tabs>
          <w:tab w:leader="none" w:pos="2920" w:val="left"/>
        </w:tabs>
        <w:numPr>
          <w:ilvl w:val="1"/>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Exchange Act</w:t>
      </w:r>
    </w:p>
    <w:p>
      <w:pPr>
        <w:spacing w:after="0" w:line="216" w:lineRule="exact"/>
        <w:rPr>
          <w:sz w:val="24"/>
          <w:szCs w:val="24"/>
          <w:color w:val="auto"/>
        </w:rPr>
      </w:pPr>
    </w:p>
    <w:tbl>
      <w:tblPr>
        <w:tblLayout w:type="fixed"/>
        <w:tblInd w:w="336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342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w w:val="99"/>
              </w:rPr>
              <w:t>Commission File Number: 0-9376</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INNOVATIVE FOOD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60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408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w w:val="96"/>
              </w:rPr>
              <w:t>20-1167761</w:t>
            </w:r>
          </w:p>
        </w:tc>
      </w:tr>
      <w:tr>
        <w:trPr>
          <w:trHeight w:val="20"/>
        </w:trPr>
        <w:tc>
          <w:tcPr>
            <w:tcW w:w="19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7"/>
        </w:trPr>
        <w:tc>
          <w:tcPr>
            <w:tcW w:w="6580" w:type="dxa"/>
            <w:vAlign w:val="bottom"/>
            <w:gridSpan w:val="5"/>
          </w:tcPr>
          <w:p>
            <w:pPr>
              <w:jc w:val="center"/>
              <w:ind w:right="216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20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(IRS Employer I.D. No.)</w:t>
            </w:r>
          </w:p>
        </w:tc>
      </w:tr>
      <w:tr>
        <w:trPr>
          <w:trHeight w:val="410"/>
        </w:trPr>
        <w:tc>
          <w:tcPr>
            <w:tcW w:w="1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28411 Race Track Rd.</w:t>
            </w: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8"/>
        </w:trPr>
        <w:tc>
          <w:tcPr>
            <w:tcW w:w="1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300" w:type="dxa"/>
            <w:vAlign w:val="bottom"/>
            <w:tcBorders>
              <w:bottom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Bonita Springs, Florida 34135</w:t>
            </w: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7"/>
        </w:trPr>
        <w:tc>
          <w:tcPr>
            <w:tcW w:w="1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8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(239) 596-0204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1811655</wp:posOffset>
            </wp:positionH>
            <wp:positionV relativeFrom="paragraph">
              <wp:posOffset>254635</wp:posOffset>
            </wp:positionV>
            <wp:extent cx="3342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42005"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120" w:type="dxa"/>
            <w:vAlign w:val="bottom"/>
          </w:tcPr>
          <w:p>
            <w:pPr>
              <w:spacing w:after="0"/>
              <w:rPr>
                <w:sz w:val="20"/>
                <w:szCs w:val="20"/>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79"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78"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(Check One):</w:t>
            </w:r>
          </w:p>
        </w:tc>
        <w:tc>
          <w:tcPr>
            <w:tcW w:w="3940" w:type="dxa"/>
            <w:vAlign w:val="bottom"/>
            <w:vMerge w:val="restart"/>
          </w:tcPr>
          <w:p>
            <w:pPr>
              <w:ind w:left="176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3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3940" w:type="dxa"/>
            <w:vAlign w:val="bottom"/>
          </w:tcPr>
          <w:p>
            <w:pPr>
              <w:ind w:left="1760"/>
              <w:spacing w:after="0" w:line="207" w:lineRule="exact"/>
              <w:rPr>
                <w:sz w:val="20"/>
                <w:szCs w:val="20"/>
                <w:color w:val="auto"/>
              </w:rPr>
            </w:pPr>
            <w:r>
              <w:rPr>
                <w:rFonts w:ascii="Times New Roman" w:cs="Times New Roman" w:eastAsia="Times New Roman" w:hAnsi="Times New Roman"/>
                <w:sz w:val="18"/>
                <w:szCs w:val="18"/>
                <w:color w:val="auto"/>
                <w:w w:val="98"/>
              </w:rPr>
              <w:t xml:space="preserve">Smaller reporting company </w:t>
            </w:r>
            <w:r>
              <w:rPr>
                <w:rFonts w:ascii="MS PGothic" w:cs="MS PGothic" w:eastAsia="MS PGothic" w:hAnsi="MS PGothic"/>
                <w:sz w:val="18"/>
                <w:szCs w:val="18"/>
                <w:color w:val="auto"/>
                <w:w w:val="98"/>
              </w:rPr>
              <w:t>☒</w:t>
            </w:r>
          </w:p>
        </w:tc>
        <w:tc>
          <w:tcPr>
            <w:tcW w:w="0" w:type="dxa"/>
            <w:vAlign w:val="bottom"/>
          </w:tcPr>
          <w:p>
            <w:pPr>
              <w:spacing w:after="0"/>
              <w:rPr>
                <w:sz w:val="1"/>
                <w:szCs w:val="1"/>
                <w:color w:val="auto"/>
              </w:rPr>
            </w:pPr>
          </w:p>
        </w:tc>
      </w:tr>
      <w:tr>
        <w:trPr>
          <w:trHeight w:val="283"/>
        </w:trPr>
        <w:tc>
          <w:tcPr>
            <w:tcW w:w="394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8"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Regulation 12b-2 of the Exchange Act):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State the number of shares outstanding of each of the issuer’s classes of common stock, as of the latest practicable date: 46,649,123 shares of common stock outstanding as of May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311150</wp:posOffset>
            </wp:positionV>
            <wp:extent cx="69608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371" w:right="459" w:bottom="1440" w:gutter="0" w:footer="0" w:header="0"/>
        </w:sectPr>
      </w:pPr>
    </w:p>
    <w:bookmarkStart w:id="1" w:name="page2"/>
    <w:bookmarkEnd w:id="1"/>
    <w:p>
      <w:pPr>
        <w:ind w:left="390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TABLE OF CONTENTS TO 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888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0"/>
        </w:trPr>
        <w:tc>
          <w:tcPr>
            <w:tcW w:w="1280" w:type="dxa"/>
            <w:vAlign w:val="bottom"/>
            <w:vMerge w:val="continue"/>
          </w:tcPr>
          <w:p>
            <w:pPr>
              <w:spacing w:after="0"/>
              <w:rPr>
                <w:sz w:val="18"/>
                <w:szCs w:val="18"/>
                <w:color w:val="auto"/>
              </w:rPr>
            </w:pPr>
          </w:p>
        </w:tc>
        <w:tc>
          <w:tcPr>
            <w:tcW w:w="8880" w:type="dxa"/>
            <w:vAlign w:val="bottom"/>
            <w:gridSpan w:val="15"/>
            <w:vMerge w:val="continue"/>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88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1280" w:type="dxa"/>
            <w:vAlign w:val="bottom"/>
            <w:tcBorders>
              <w:top w:val="single" w:sz="8" w:color="0000EE"/>
            </w:tcBorders>
            <w:gridSpan w:val="3"/>
          </w:tcPr>
          <w:p>
            <w:pPr>
              <w:spacing w:after="0"/>
              <w:rPr>
                <w:sz w:val="17"/>
                <w:szCs w:val="17"/>
                <w:color w:val="auto"/>
              </w:rPr>
            </w:pPr>
          </w:p>
        </w:tc>
        <w:tc>
          <w:tcPr>
            <w:tcW w:w="4660" w:type="dxa"/>
            <w:vAlign w:val="bottom"/>
            <w:gridSpan w:val="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88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37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5160" w:type="dxa"/>
            <w:vAlign w:val="bottom"/>
            <w:gridSpan w:val="6"/>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43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 of Stockholders’ Equity</w:t>
            </w:r>
          </w:p>
        </w:tc>
        <w:tc>
          <w:tcPr>
            <w:tcW w:w="4560" w:type="dxa"/>
            <w:vAlign w:val="bottom"/>
            <w:gridSpan w:val="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88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8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 (including cautionary statement)</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060" w:type="dxa"/>
            <w:vAlign w:val="bottom"/>
            <w:tcBorders>
              <w:top w:val="single" w:sz="8" w:color="0000EE"/>
            </w:tcBorders>
            <w:gridSpan w:val="9"/>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53"/>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88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754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Unregistered Sales of Equity Securities and Use of Proceeds</w:t>
            </w:r>
          </w:p>
        </w:tc>
        <w:tc>
          <w:tcPr>
            <w:tcW w:w="452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88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tcPr>
          <w:p>
            <w:pPr>
              <w:spacing w:after="0"/>
              <w:rPr>
                <w:sz w:val="17"/>
                <w:szCs w:val="17"/>
                <w:color w:val="auto"/>
              </w:rPr>
            </w:pPr>
          </w:p>
        </w:tc>
        <w:tc>
          <w:tcPr>
            <w:tcW w:w="6560" w:type="dxa"/>
            <w:vAlign w:val="bottom"/>
            <w:gridSpan w:val="9"/>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7560" w:type="dxa"/>
            <w:vAlign w:val="bottom"/>
            <w:gridSpan w:val="1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8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2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88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554"/>
        </w:trPr>
        <w:tc>
          <w:tcPr>
            <w:tcW w:w="128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549"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ASSETS</w:t>
            </w:r>
          </w:p>
        </w:tc>
        <w:tc>
          <w:tcPr>
            <w:tcW w:w="200" w:type="dxa"/>
            <w:vAlign w:val="bottom"/>
          </w:tcPr>
          <w:p>
            <w:pPr>
              <w:spacing w:after="0"/>
              <w:rPr>
                <w:sz w:val="18"/>
                <w:szCs w:val="18"/>
                <w:color w:val="auto"/>
              </w:rPr>
            </w:pPr>
          </w:p>
        </w:tc>
        <w:tc>
          <w:tcPr>
            <w:tcW w:w="12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7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3,111,168</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6,122,671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3,422,003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3,256,764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3,209,945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3,109,984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389,513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10,132,629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12,803,526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8,094,038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8,186,227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Investments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286,725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Right to use assets, operating leases, net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232,381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Right to use assets, finance leases, net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680,358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669,039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Other amortizable intangible assets, net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61,987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Goodwill and other unamortizable intangible assets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1,532,822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1,532,822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20,988,033</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23,782,938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7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4,473,440</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5,702,905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interest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42,794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1,250,944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1,631,406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Line of Credit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Notes payable - current portion, net of discount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412,491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Lease liability - operating leases, current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63,361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Lease liability - finance leases, current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182,664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Contingent liability - current portion</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8,612,694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10,197,532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Lease liability - operating leases, non-current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136,113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Lease liability - finance leases, non-current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478,262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Contingent liability - long-term</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Note payable - long term portion, net</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5,319,914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5,409,172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14,655,583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16,372,837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&amp; Contingencies (see note 16)</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Common stock: $0.0001 par value; 500,000,000 shares authorized; 49,343,846 and 48,879,331 shares issued,</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and 46,506,266 and 46,041,751 shares outstanding at March 31, 2022 and December 31, 2021, respectively</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41,815,390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41,662,710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Treasury stock: 2,623,171 and 2,623,171 shares outstanding at March 31, 2022 and December 31, 2021,</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7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(1,141,370)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(1,141,370)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7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(34,346,501)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(33,116,124)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6,332,450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7,410,101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20,988,033</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23,782,938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549"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 Three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20" w:type="dxa"/>
            <w:vAlign w:val="bottom"/>
            <w:vMerge w:val="restart"/>
          </w:tcPr>
          <w:p>
            <w:pPr>
              <w:spacing w:after="0"/>
              <w:rPr>
                <w:sz w:val="24"/>
                <w:szCs w:val="24"/>
                <w:color w:val="auto"/>
              </w:rPr>
            </w:pPr>
          </w:p>
        </w:tc>
        <w:tc>
          <w:tcPr>
            <w:tcW w:w="4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15,643,111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12,180,899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11,917,179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8,878,914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3,725,932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5,172,426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4,850,828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5,172,426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4,850,828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(1,446,494)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(1,548,843)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of investment</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interest rate swap</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leasing income</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(82,973)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before taxes</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(1,230,377)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(1,843,871)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18"/>
                <w:szCs w:val="18"/>
                <w:color w:val="auto"/>
              </w:rPr>
            </w:pPr>
          </w:p>
        </w:tc>
        <w:tc>
          <w:tcPr>
            <w:tcW w:w="30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0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(1,230,377)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(1,843,871)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CCEEFF"/>
            </w:tcBorders>
          </w:tcPr>
          <w:p>
            <w:pPr>
              <w:spacing w:after="0"/>
              <w:rPr>
                <w:sz w:val="17"/>
                <w:szCs w:val="17"/>
                <w:color w:val="auto"/>
              </w:rPr>
            </w:pPr>
          </w:p>
        </w:tc>
        <w:tc>
          <w:tcPr>
            <w:tcW w:w="30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0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(0.03)</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CCEEFF"/>
            </w:tcBorders>
          </w:tcPr>
          <w:p>
            <w:pPr>
              <w:spacing w:after="0"/>
              <w:rPr>
                <w:sz w:val="17"/>
                <w:szCs w:val="17"/>
                <w:color w:val="auto"/>
              </w:rPr>
            </w:pPr>
          </w:p>
        </w:tc>
        <w:tc>
          <w:tcPr>
            <w:tcW w:w="304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3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46,256,160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35,872,143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9340" w:type="dxa"/>
            <w:vAlign w:val="bottom"/>
            <w:gridSpan w:val="5"/>
          </w:tcPr>
          <w:p>
            <w:pPr>
              <w:jc w:val="center"/>
              <w:ind w:left="1490"/>
              <w:spacing w:after="0"/>
              <w:rPr>
                <w:sz w:val="20"/>
                <w:szCs w:val="20"/>
                <w:color w:val="auto"/>
              </w:rPr>
            </w:pPr>
            <w:r>
              <w:rPr>
                <w:rFonts w:ascii="Times New Roman" w:cs="Times New Roman" w:eastAsia="Times New Roman" w:hAnsi="Times New Roman"/>
                <w:sz w:val="18"/>
                <w:szCs w:val="18"/>
                <w:color w:val="auto"/>
                <w:w w:val="99"/>
              </w:rPr>
              <w:t>See notes to these unaudited condensed consolidated financial statements.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040" w:type="dxa"/>
            <w:vAlign w:val="bottom"/>
          </w:tcPr>
          <w:p>
            <w:pPr>
              <w:jc w:val="right"/>
              <w:ind w:right="219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4740" w:type="dxa"/>
            <w:vAlign w:val="bottom"/>
            <w:tcBorders>
              <w:bottom w:val="single" w:sz="8" w:color="auto"/>
            </w:tcBorders>
          </w:tcPr>
          <w:p>
            <w:pPr>
              <w:spacing w:after="0"/>
              <w:rPr>
                <w:sz w:val="8"/>
                <w:szCs w:val="8"/>
                <w:color w:val="auto"/>
              </w:rPr>
            </w:pPr>
          </w:p>
        </w:tc>
        <w:tc>
          <w:tcPr>
            <w:tcW w:w="3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5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 the Three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(1,230,377)</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(1,843,871)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Impairment of investment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Amortization of prepaid loan fees</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(Recovery) Provision for doubtful accounts</w:t>
            </w: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(164,124)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Inventory and other current assets, net</w:t>
            </w: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(175,367)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(1,216,020)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(380,462)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Contingent liabilities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(22,929)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(2,873,290)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(3,497,010)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Proceeds from Payroll Protection Plan Loan</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Principal payments on debt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(92,816)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Principal payments financing leases</w:t>
            </w: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(40,637)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(35,068)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(133,453)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1,527,693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65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(3,011,503)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(1,973,929)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Borders>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6,122,671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5,060,015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gridSpan w:val="2"/>
          </w:tcPr>
          <w:p>
            <w:pPr>
              <w:spacing w:after="0"/>
              <w:rPr>
                <w:sz w:val="18"/>
                <w:szCs w:val="18"/>
                <w:color w:val="auto"/>
              </w:rPr>
            </w:pP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3,111,168</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3,086,086</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65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5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84,961</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5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5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right to use assets &amp; liabilities – operating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7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Decrease in right to use assets &amp; liabilities – operating leases</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13,216</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Increase in right to use assets &amp; liabilities – finance leases</w:t>
            </w:r>
          </w:p>
        </w:tc>
        <w:tc>
          <w:tcPr>
            <w:tcW w:w="1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42,500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these unaudited condensed consolidated financial statements.</w:t>
      </w:r>
    </w:p>
    <w:p>
      <w:pPr>
        <w:sectPr>
          <w:pgSz w:w="11900" w:h="16838" w:orient="portrait"/>
          <w:cols w:equalWidth="0" w:num="1">
            <w:col w:w="10960"/>
          </w:cols>
          <w:pgMar w:left="460" w:top="108" w:right="47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6960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0" w:type="dxa"/>
            <w:vAlign w:val="bottom"/>
            <w:gridSpan w:val="4"/>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060" w:type="dxa"/>
            <w:vAlign w:val="bottom"/>
            <w:gridSpan w:val="5"/>
            <w:vMerge w:val="restart"/>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060" w:type="dxa"/>
            <w:vAlign w:val="bottom"/>
            <w:gridSpan w:val="5"/>
            <w:vMerge w:val="continue"/>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2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December 31, 2020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38,209,060</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$ 37,415,155</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2,623,171</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(1,141,370)</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(32,399,793)</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3,877,809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vested stock and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286,254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157,762</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for the three months ended March 31,</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vMerge w:val="restart"/>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(1,843,871)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(1,843,871)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w:t>
            </w:r>
          </w:p>
        </w:tc>
        <w:tc>
          <w:tcPr>
            <w:tcW w:w="8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 March 31, 2021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38,495,314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$ 37,572,917</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2,623,171</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(1,141,370)</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 (34,243,664)</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2,191,729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 December 31, 2021</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48,879,331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41,662,710</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2,623,171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(1,141,370)</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(33,116,124)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7,410,101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vested stock and stock options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464,515</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152,680</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Net loss for the three months ended March 31,</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vMerge w:val="restart"/>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vMerge w:val="restart"/>
          </w:tcPr>
          <w:p>
            <w:pPr>
              <w:spacing w:after="0"/>
              <w:rPr>
                <w:sz w:val="16"/>
                <w:szCs w:val="16"/>
                <w:color w:val="auto"/>
              </w:rPr>
            </w:pP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(1,230,377)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(1,230,377)</w:t>
            </w:r>
          </w:p>
        </w:tc>
        <w:tc>
          <w:tcPr>
            <w:tcW w:w="0" w:type="dxa"/>
            <w:vAlign w:val="bottom"/>
          </w:tcPr>
          <w:p>
            <w:pPr>
              <w:spacing w:after="0"/>
              <w:rPr>
                <w:sz w:val="1"/>
                <w:szCs w:val="1"/>
                <w:color w:val="auto"/>
              </w:rPr>
            </w:pPr>
          </w:p>
        </w:tc>
      </w:tr>
      <w:tr>
        <w:trPr>
          <w:trHeight w:val="203"/>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2022</w:t>
            </w:r>
          </w:p>
        </w:tc>
        <w:tc>
          <w:tcPr>
            <w:tcW w:w="8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 March 31, 2022 (unaudited)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49,343,846</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$ 41,815,390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2,623,171</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(1,141,370)</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(34,346,501)</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INNOVATIVE FOOD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of Innovative Food Holdings, Inc., and its wholly owned subsidiaries, some of which are non-operating, Artisan Specialty Foods, Inc. (“Artisan”), Food Innovations, Inc. (“FII”), Food New Media Group, Inc. (“FNM”), Organic Food Brokers, LLC (“OFB”), Gourmet Foodservice Group, Inc. (“GFG”), Gourmet Foodservice Group Warehouse, Inc. (“GFW”), Gourmeting, Inc. (“Gourmeting”), Haley Food Group, Inc. (“Haley”), Oasis Sales Corp. (“Oasis”), 4 The Gourmet, Inc. (d/b/a For The Gourmet, Inc.), (“Gourmet”), Innovative Food Properties, LLC (“IFP”), Plant Innovations, Inc. (“Plant Innovations”), Innovative Gourmet, LLC (“Innovative Gourmet” or “igourmet”), Food Funding, LLC (“Food Funding”), Logistics Innovations, LLC (L Innovations”), M Innovations, LLC (“M Innovations”), MI Foods, LLC (“MIF”), M Foods Innovations, LLC (“M Foods”), P Innovations, LLC (“P Innovations”), PlantBelly, LLC (“PlantBelly”), Innovative Foods, Inc. (“IFI”) and Innovative Gourmet Partnerships, LLC (“IGP”), and collectively with IVFH and its other subsidiaries, the “Company” or “IVFH”) have been prepared pursuant to the rules and regulations of the Securities and Exchange Commission. All material intercompany transactions have been eliminated upon consolidation of these entities.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by the Company, in accordance with generally accepted accounting principles pursuant to Regulation S-X of the Securities and Exchange Commission and with the instructions to Form 10-Q. Certain information and footnote disclosures normally included in audited consolidated financial statements prepared in accordance with generally accepted accounting principles have been condensed or omitted. Accordingly, these interim financial statements should be read in conjunction with the Company’s audited financial statements and related notes as contained in Form 10-K for the year ended December 31, 2021. In the opinion of management, the interim unaudited condensed consolidated financial statements reflect all adjustments, including normal recurring adjustments, necessary for fair presentation of the interim periods presented. The results of the operations for the three months ended March 31, 2022 are not necessarily indicative of the results of operations to be expected for the full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NATURE OF ACTIVITIES AND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Activity</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Our business is currently conducted by our wholly owned subsidiaries, some of which are non-operating, Artisan Specialty Foods, Inc. (“Artisan”), Food Innovations, Inc. (“FII”), Food New Media Group, Inc. (“FNM”), Organic Food Brokers, LLC (“OFB”), Gourmet Foodservice Group, Inc. (“GFG”), Gourmet Foodservice Group Warehouse, Inc. (“GFW”), Gourmeting, Inc. (“Gourmeting”), Haley Food Group, Inc. (“Haley”), Oasis Sales Corp. (“Oasis”), 4 The Gourmet, Inc. (d/b/a For The Gourmet, Inc.), (“Gourmet”), Innovative Food Properties, LLC (“IFP”), Plant Innovations, Inc. (“Plant Innovations”), Innovative Gourmet, LLC (“Innovative Gourmet” or “igourmet”), Food Funding, LLC (“Food Funding”), Logistics Innovations, LLC (L Innovations”), M Innovations, LLC (“M Innovations” or “Mouth”), MI Foods, LLC (“MIF”), M Foods Innovations, LLC (“M Foods”), P Innovations, LLC (“P Innovations”), PlantBelly, LLC (“PlantBelly”), Innovative Foods, Inc. (“IFI”) and Innovative Gourmet Partnerships, LLC (“IGP”), and collectively with IVFH and its other subsidiaries, the “Company” or “IVFH”) have been prepared pursuant to the rules and regulations of the Securities and Exchange Commission. All material intercompany transactions have been eliminated upon consolidation of these entities.</w:t>
      </w:r>
    </w:p>
    <w:p>
      <w:pPr>
        <w:spacing w:after="0" w:line="18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Overall, our business activities are focused around the creation and growth of a platform which provides distribution or the enabling of distribution of high quality, unique specialty food and food related products ranging from specialty foodservice products to Consumer-Packaged Goods (“CPG”) products through a variety of sales channels ranging from national partnership based and regionally based foodservice related sales channels to e-commerce sales channels offering products both direct to consumers (“D2C”) and direct to business (“B2B”). In our business model, we receive orders from our customers and then work closely with our suppliers and our warehouse facilities to have the orders fulfilled. In order to maintain freshness and quality, we carefully select our suppliers based upon, among other factors, their quality, uniqueness, reliability and access to overnight courier services.</w:t>
      </w:r>
    </w:p>
    <w:p>
      <w:pPr>
        <w:spacing w:after="0" w:line="18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FII, through its relationship with the producers, growers, and makers of thousands of unique specialty foodservice products and through its relationship with US Foods, Inc. (“U.S. Foods” or “USF”), has been in the business of providing premium restaurants, within 24 – 72 hours, with the freshest origin-specific perishable, and healthcare products shipped directly from our network of vendors and from our warehouses. Our customers include restaurants, hotels, country clubs, national chain accounts, casinos, hospitals and catering houses.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Gourmet has been in the business of providing specialty food via e-commerce through its own website at www.forthegourmet.com and through other ecommerce channels, with unique specialty gourmet food products shipped directly from our network of vendors and from our warehouses within 24 – 72 hours.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Artisan is a supplier of over 1,500 unique specialty foodservice products to over 500 customers such as chefs, restaurants, etc. in the Greater Chicago area and serves as a national fulfillment center for certain of the Company’s other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GFG is focused on expanding the Company’s program offerings to additional specialty foodservice customers.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Haley is a dedicated foodservice consulting and advisory firm that works closely with companies to access private label and manufacturers’ private label food service opportunities with the intent of helping them launch and commercialize new products in the broadline foodservice industry and assists in the enabling of the distribution of products via national broadline food distributors.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IFP was formed to hold the Company’s real estate holdings including the recently acquired facility in Mountaintop, Pennsylvania.</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OFB and Oasis function as outsourced national sales and brand management teams for emerging organic and specialty food CPG companies of a variety of sizes and business stages, and provides emerging and unique CPG specialty food brands with distribution and shelf placement access in all of the major metro markets in the food retail industry.</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igourmet has been in the business of providing D2C specialty food via e-commerce through its own website at www.igourmet.com and through other channels such as www.amazon.com, www.ebay.com, and www.walmart.com. In addition, igourmet.com offers a line of B2B specialty foodservice items. Products are primarily shipped directly from igourmet.com’s approximately 100,000 square feet warehouse in Pennsylvania via igourmet.com owned trucks and via third party carrier directly to thousands of customers nationwide.</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Mouth.com (www.mouth.com) is an online retailer of specialty foods, monthly subscription boxes and curated gift boxes to thousands of consumers and corporate customers across the United States. Mouth sources high quality specialty foods crafted in the US by independent and small batch makers, and expertly curates them into standout food gifts for both consumers and corporate customers. Mouth also has launched a private label brand, including several award-winning products.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 Innovations focus is to leverage acquired assets to expand the Company’s subscription-based e-commerce business activities and to launch new businesses leveraging the Company’s e-commerce platform.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Plant Innovations is focused on plant-based D2C brands and online retail within the e-commerce space.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 Innovations provides 3rd party warehouse and fulfillment services out of its location at the Company’s PA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these financial statements requires us to make estimates and judgments that affect the reported amounts of assets, liabilities, revenues and expenses, and related disclosure of contingent assets and liabilities.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operating and finance right to use assets and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Innovative Food Holdings, Inc., and its wholly owned operating subsidiaries, Artisan, FII, FNM, OFB, GFG, GFW, Gourmeting, Haley, Oasis, Innovative Gourmet, Food Funding, IFP, L Innovations, M Innovations, P Innovations, MIF, M Foods, PlantBelly, Plant Innovations, IFI, IGP, and Gourmet. All material intercompany transactions have been eliminated upon consolidation of these entities.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Financial instruments and related items, which potentially subject the Company to concentrations of credit risk, consist primarily of cash, cash equivalents and trade receivables. The Company places its cash and temporary cash in investments with credit quality institutions. At times, such investments may be in excess of applicable government mandated insurance limit. At March 31, 2022 and 2021, trade receivables from the Company’s largest customer amounted to 33% and 46%, respectively, of total trade receivables. During the three months ended March 31, 2022 and 2021, sales from the Company’s largest customer amounted to 49% and 42% of total sales, respectively.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maintains cash balances in excess of Federal Deposit Insurance Corporation limits. At March 31, 2022 and December 31, 2021, the total cash in excess of these limits was $1,388,422 and $4,555,032,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accounts for leases in accordance with Financial Accounting Standards Board (“FASB”) ASC 842, “Leases”. The Company determines if an arrangement is a lease at inception. Operating lease right-of-use assets (“ROU assets”) and short-term and long-term lease liabilities are included on the face of the consolidated balance sheet. Finance lease ROU assets are presented within other assets, and finance lease liabilities are presented within current and long-term liabilities.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the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revenue upon product delivery. All of our products are shipped either same day or overnight or through longer shipping terms to the customer and the customer takes title to product and assumes risk and ownership of the product when it is delivered. Shipping charges to customers and sales taxes collectible from customers, if any, are included in revenues.</w:t>
      </w:r>
    </w:p>
    <w:p>
      <w:pPr>
        <w:spacing w:after="0" w:line="176"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For revenue from product sales, the Company recognizes revenue in accordance with Financial Accounting Standards Board (“FASB”) Accounting Standards Codification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 five-step analysis must be met as outlined in Topic 606: (i) identify the contract with the customer, (ii) identify the performance obligations in the contract, (iii) determine the transaction price, (iv) allocate the transaction price to the performance obligations, and (v) recognize revenue when (or as) performance obligations are satisfied. Provisions for discounts and rebates to customers, estimated returns and allowances, and other adjustments are provided for in the same period the related sales are recorded. The Company defers any revenue for which the product has not been delivered or is subject to refund until such time that the Company and the customer jointly determine that the product has been delivered or no refund will be required.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Warehouse and logistic services revenue is primarily comprised of inventory management, order fulfilment and warehousing services. Warehouse &amp; logistics services revenues are recognized at the point in time when the services are rendered to the customer.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Deferred Revenue</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Certain customer arrangements in the Company's business such as gift cards and e-commerce subscription purchases result in deferred revenues when cash payments are received in advance of performance. Gift cards issued by the Company generally have an expiration of five years from date of purchase. The Company records a liability for unredeemed gift cards and advance payments for monthly club memberships, as cash is received, and the liability is reduced when the card is redeemed or product delivered.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the changes in deferred revenue as reported on the Company’s consolidated balance sheets:</w:t>
      </w:r>
    </w:p>
    <w:p>
      <w:pPr>
        <w:spacing w:after="0" w:line="24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2,917,676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(2,376,151)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2021 (unaudited)</w:t>
            </w: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1,133,411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1,631,406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Cash payments received</w:t>
            </w:r>
          </w:p>
        </w:tc>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700,582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recognized</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(1,081,044)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2022 (unaudited)</w:t>
            </w: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1,250,944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for the three months ended March 31, 2022 and 2021:</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38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3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r>
      <w:tr>
        <w:trPr>
          <w:trHeight w:val="210"/>
        </w:trPr>
        <w:tc>
          <w:tcPr>
            <w:tcW w:w="3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8"/>
              </w:rPr>
              <w:t>(unaudited)</w:t>
            </w: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Specialty foodservice</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11,540,835</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6,827,927</w:t>
            </w: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E-Commerce</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3,612,344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4,979,938</w:t>
            </w:r>
          </w:p>
        </w:tc>
        <w:tc>
          <w:tcPr>
            <w:tcW w:w="8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National Brand Management</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284,147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225,594</w:t>
            </w:r>
          </w:p>
        </w:tc>
        <w:tc>
          <w:tcPr>
            <w:tcW w:w="8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Logistics</w:t>
            </w:r>
          </w:p>
        </w:tc>
        <w:tc>
          <w:tcPr>
            <w:tcW w:w="1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205,785</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147,440</w:t>
            </w:r>
          </w:p>
        </w:tc>
        <w:tc>
          <w:tcPr>
            <w:tcW w:w="80" w:type="dxa"/>
            <w:vAlign w:val="bottom"/>
          </w:tcPr>
          <w:p>
            <w:pPr>
              <w:spacing w:after="0"/>
              <w:rPr>
                <w:sz w:val="18"/>
                <w:szCs w:val="18"/>
                <w:color w:val="auto"/>
              </w:rPr>
            </w:pPr>
          </w:p>
        </w:tc>
      </w:tr>
      <w:tr>
        <w:trPr>
          <w:trHeight w:val="23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15,643,111</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12,180,899</w:t>
            </w:r>
          </w:p>
        </w:tc>
        <w:tc>
          <w:tcPr>
            <w:tcW w:w="80" w:type="dxa"/>
            <w:vAlign w:val="bottom"/>
            <w:shd w:val="clear" w:color="auto" w:fill="CCEEFF"/>
          </w:tcPr>
          <w:p>
            <w:pPr>
              <w:spacing w:after="0"/>
              <w:rPr>
                <w:sz w:val="19"/>
                <w:szCs w:val="19"/>
                <w:color w:val="auto"/>
              </w:rPr>
            </w:pPr>
          </w:p>
        </w:tc>
      </w:tr>
      <w:tr>
        <w:trPr>
          <w:trHeight w:val="20"/>
        </w:trPr>
        <w:tc>
          <w:tcPr>
            <w:tcW w:w="38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included in cost of goods sold all costs which are directly related to the generation of revenue. These costs include primarily the cost of food and raw materials, packing and handling, shipping, and delivery costs.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included all payroll costs as cost of goods sold in our leasing and logistics services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Basic and Diluted Earnings Per Share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net earnings per share is based on the weighted average number of shares outstanding during the period, while fully-diluted net earnings per share is based on the weighted average number of shares of common stock and potentially dilutive securities assumed to be outstanding during the period using the treasury stock method. Potentially dilutive securities consist of options and warrants to purchase common stock, and convertible debt. Basic and diluted net loss per share is computed based on the weighted average number of shares of common stock outstanding during the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treasury stock method to calculate the impact of outstanding stock options and warrants. Stock options and warrants for which the exercise price exceeds the average market price over the period have an anti-dilutive effect on earnings per common share and, accordingly, are excluded from the calculation.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March 31,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at March 31, 2022:</w:t>
      </w:r>
    </w:p>
    <w:p>
      <w:pPr>
        <w:spacing w:after="0" w:line="158"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300" w:type="dxa"/>
            <w:vAlign w:val="bottom"/>
          </w:tcPr>
          <w:p>
            <w:pPr>
              <w:spacing w:after="0"/>
              <w:rPr>
                <w:sz w:val="18"/>
                <w:szCs w:val="18"/>
                <w:color w:val="auto"/>
              </w:rPr>
            </w:pPr>
          </w:p>
        </w:tc>
        <w:tc>
          <w:tcPr>
            <w:tcW w:w="26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Contractual</w:t>
            </w:r>
          </w:p>
        </w:tc>
      </w:tr>
      <w:tr>
        <w:trPr>
          <w:trHeight w:val="238"/>
        </w:trPr>
        <w:tc>
          <w:tcPr>
            <w:tcW w:w="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300" w:type="dxa"/>
            <w:vAlign w:val="bottom"/>
          </w:tcPr>
          <w:p>
            <w:pPr>
              <w:spacing w:after="0"/>
              <w:rPr>
                <w:sz w:val="20"/>
                <w:szCs w:val="20"/>
                <w:color w:val="auto"/>
              </w:rPr>
            </w:pPr>
          </w:p>
        </w:tc>
        <w:tc>
          <w:tcPr>
            <w:tcW w:w="268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30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2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Borders>
              <w:bottom w:val="single" w:sz="8" w:color="CCEEFF"/>
            </w:tcBorders>
            <w:shd w:val="clear" w:color="auto" w:fill="CCEEFF"/>
          </w:tcPr>
          <w:p>
            <w:pPr>
              <w:jc w:val="right"/>
              <w:ind w:right="404"/>
              <w:spacing w:after="0"/>
              <w:rPr>
                <w:sz w:val="20"/>
                <w:szCs w:val="20"/>
                <w:color w:val="auto"/>
              </w:rPr>
            </w:pPr>
            <w:r>
              <w:rPr>
                <w:rFonts w:ascii="Times New Roman" w:cs="Times New Roman" w:eastAsia="Times New Roman" w:hAnsi="Times New Roman"/>
                <w:sz w:val="11"/>
                <w:szCs w:val="11"/>
                <w:color w:val="auto"/>
                <w:w w:val="71"/>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tcBorders>
              <w:bottom w:val="single" w:sz="8" w:color="CCEEFF"/>
            </w:tcBorders>
            <w:shd w:val="clear" w:color="auto" w:fill="CCEEFF"/>
          </w:tcPr>
          <w:p>
            <w:pPr>
              <w:spacing w:after="0"/>
              <w:rPr>
                <w:sz w:val="18"/>
                <w:szCs w:val="18"/>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30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2022,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Grants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incurred obligations to issue the following shares of common stock pursuant to compensation agreements: an aggregate of 25,812 shares of common stock to board members; and an aggregate total of 438,703 shares of common stock to Executive Officers. Some of these shares or other shares owned by the Company’s employees are included in a 10b5-1 selling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charged the amount of $152,726 to operations in connection with stock grants during the three months ended March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Dilutive shares at March 31,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and the related prices for the options to purchase shares of the Company’s common stock issued by the Company at March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300" w:type="dxa"/>
            <w:vAlign w:val="bottom"/>
          </w:tcPr>
          <w:p>
            <w:pPr>
              <w:spacing w:after="0"/>
              <w:rPr>
                <w:sz w:val="18"/>
                <w:szCs w:val="18"/>
                <w:color w:val="auto"/>
              </w:rPr>
            </w:pPr>
          </w:p>
        </w:tc>
        <w:tc>
          <w:tcPr>
            <w:tcW w:w="26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Pr>
          <w:p>
            <w:pPr>
              <w:spacing w:after="0"/>
              <w:rPr>
                <w:sz w:val="18"/>
                <w:szCs w:val="18"/>
                <w:color w:val="auto"/>
              </w:rPr>
            </w:pPr>
          </w:p>
        </w:tc>
        <w:tc>
          <w:tcPr>
            <w:tcW w:w="28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080" w:type="dxa"/>
            <w:vAlign w:val="bottom"/>
          </w:tcPr>
          <w:p>
            <w:pPr>
              <w:spacing w:after="0"/>
              <w:rPr>
                <w:sz w:val="18"/>
                <w:szCs w:val="18"/>
                <w:color w:val="auto"/>
              </w:rPr>
            </w:pPr>
          </w:p>
        </w:tc>
      </w:tr>
      <w:tr>
        <w:trPr>
          <w:trHeight w:val="238"/>
        </w:trPr>
        <w:tc>
          <w:tcPr>
            <w:tcW w:w="1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300" w:type="dxa"/>
            <w:vAlign w:val="bottom"/>
          </w:tcPr>
          <w:p>
            <w:pPr>
              <w:spacing w:after="0"/>
              <w:rPr>
                <w:sz w:val="20"/>
                <w:szCs w:val="20"/>
                <w:color w:val="auto"/>
              </w:rPr>
            </w:pPr>
          </w:p>
        </w:tc>
        <w:tc>
          <w:tcPr>
            <w:tcW w:w="268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of Options</w:t>
            </w:r>
          </w:p>
        </w:tc>
        <w:tc>
          <w:tcPr>
            <w:tcW w:w="30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0"/>
        </w:trPr>
        <w:tc>
          <w:tcPr>
            <w:tcW w:w="1100" w:type="dxa"/>
            <w:vAlign w:val="bottom"/>
          </w:tcPr>
          <w:p>
            <w:pPr>
              <w:spacing w:after="0"/>
              <w:rPr>
                <w:sz w:val="18"/>
                <w:szCs w:val="18"/>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40" w:type="dxa"/>
            <w:vAlign w:val="bottom"/>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2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40" w:type="dxa"/>
            <w:vAlign w:val="bottom"/>
            <w:tcBorders>
              <w:bottom w:val="single" w:sz="8" w:color="CCEEFF"/>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00" w:type="dxa"/>
            <w:vAlign w:val="bottom"/>
            <w:tcBorders>
              <w:bottom w:val="single" w:sz="8" w:color="CCEEFF"/>
            </w:tcBorders>
            <w:shd w:val="clear" w:color="auto" w:fill="CCEEFF"/>
          </w:tcPr>
          <w:p>
            <w:pPr>
              <w:spacing w:after="0"/>
              <w:rPr>
                <w:sz w:val="18"/>
                <w:szCs w:val="18"/>
                <w:color w:val="auto"/>
              </w:rPr>
            </w:pPr>
          </w:p>
        </w:tc>
        <w:tc>
          <w:tcPr>
            <w:tcW w:w="2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300" w:type="dxa"/>
            <w:vAlign w:val="bottom"/>
            <w:tcBorders>
              <w:bottom w:val="single" w:sz="8" w:color="CCEEFF"/>
            </w:tcBorders>
            <w:shd w:val="clear" w:color="auto" w:fill="CCEEFF"/>
          </w:tcPr>
          <w:p>
            <w:pPr>
              <w:spacing w:after="0"/>
              <w:rPr>
                <w:sz w:val="18"/>
                <w:szCs w:val="18"/>
                <w:color w:val="auto"/>
              </w:rPr>
            </w:pP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09"/>
        </w:trPr>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300" w:type="dxa"/>
            <w:vAlign w:val="bottom"/>
          </w:tcPr>
          <w:p>
            <w:pPr>
              <w:spacing w:after="0"/>
              <w:rPr>
                <w:sz w:val="18"/>
                <w:szCs w:val="18"/>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3"/>
        </w:trPr>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9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80"/>
          </w:cols>
          <w:pgMar w:left="460" w:top="121"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charged the amount of $36,080 to operations in connection with stock options during the three months ended March 31,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2021 there are 300,000 unvested restricted stock awards remaining from grants in a prior year. Those 300,000 restricted stock awards will vest as follows: 125,000 restricted stock awards will vest contingent upon the attainment of a stock price of $2.00 per share for 20 straight trading days, and an additional 175,000 restricted stock awards will vest contingent upon the attainment of a stock price of $3.00 per share for 20 straight trading days.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Grants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2021, the Company incurred obligations to issue the following shares of common stock pursuant to compensation agreements: an aggregate total of 50,070 shares of common stock to board members and an aggregate total of 236,184 shares to Executive Officers. Some of these shares or other shares owned by the Company’s employees are included in a 10b5-1 plan. The Company charged the amount of $121,711 to operations in connection with stock grants during the three months ended March 31,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Significant Recent Accounting Pronouncements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2019, the FASB issued ASU No. 2019-12, “Income Taxes (Topic 740): Simplifying the Accounting for Income Taxes (“ASU 2019-12”), which is intended to simplify various aspects related to accounting for income taxes. ASU 2019-12 removes certain exceptions to the general principles in Topic 740 and also clarifies and amends existing guidance to improve consistent application. This guidance is effective for fiscal years, and interim periods within those fiscal years, beginning after December 15, 2020, with early adoption permitted. The Company adopted this standard effective January 1, 2021; adoption of this standard did not have a material effect on our consolidated financial statements and related disclosures.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us on January 1, 2022; adoption of this standard did not have a material effect on our consolidated financial statements and related disclosures.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accompanying consolidated financial statements.</w:t>
      </w:r>
    </w:p>
    <w:p>
      <w:pPr>
        <w:sectPr>
          <w:pgSz w:w="11900" w:h="16838" w:orient="portrait"/>
          <w:cols w:equalWidth="0" w:num="1">
            <w:col w:w="10960"/>
          </w:cols>
          <w:pgMar w:left="460" w:top="121" w:right="47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2022 and December 31, 2021, accounts receivable consists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Accounts receivable from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-119380</wp:posOffset>
            </wp:positionV>
            <wp:extent cx="557212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72125" cy="137160"/>
                    </a:xfrm>
                    <a:prstGeom prst="rect">
                      <a:avLst/>
                    </a:prstGeom>
                    <a:noFill/>
                  </pic:spPr>
                </pic:pic>
              </a:graphicData>
            </a:graphic>
          </wp:anchor>
        </w:drawing>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Allowance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14605</wp:posOffset>
            </wp:positionV>
            <wp:extent cx="55721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2125" cy="163195"/>
                    </a:xfrm>
                    <a:prstGeom prst="rect">
                      <a:avLst/>
                    </a:prstGeom>
                    <a:noFill/>
                  </pic:spPr>
                </pic:pic>
              </a:graphicData>
            </a:graphic>
          </wp:anchor>
        </w:drawing>
      </w: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3,795,831</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3,632,695</w:t>
            </w:r>
          </w:p>
        </w:tc>
        <w:tc>
          <w:tcPr>
            <w:tcW w:w="4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(373,828)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(375,931)</w:t>
            </w:r>
          </w:p>
        </w:tc>
      </w:tr>
      <w:tr>
        <w:trPr>
          <w:trHeight w:val="210"/>
        </w:trPr>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3,422,003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3,256,764</w:t>
            </w: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900" w:space="720"/>
            <w:col w:w="4340"/>
          </w:cols>
          <w:pgMar w:left="460" w:top="121"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 Company credited the amount of $1,115 to bad debt expense due to a bad debt recovery; during the previous period the Company charged the amount of $2,721, to bad debt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primarily of specialty food products. At March 31, 2022 and December 31, 2021, inventory consisted of the following:</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37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3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 Inventory</w:t>
            </w:r>
          </w:p>
        </w:tc>
        <w:tc>
          <w:tcPr>
            <w:tcW w:w="2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3,209,945</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3,109,984</w:t>
            </w:r>
          </w:p>
        </w:tc>
        <w:tc>
          <w:tcPr>
            <w:tcW w:w="80" w:type="dxa"/>
            <w:vAlign w:val="bottom"/>
            <w:shd w:val="clear" w:color="auto" w:fill="CCEEFF"/>
          </w:tcPr>
          <w:p>
            <w:pPr>
              <w:spacing w:after="0"/>
              <w:rPr>
                <w:sz w:val="20"/>
                <w:szCs w:val="20"/>
                <w:color w:val="auto"/>
              </w:rPr>
            </w:pPr>
          </w:p>
        </w:tc>
      </w:tr>
      <w:tr>
        <w:trPr>
          <w:trHeight w:val="20"/>
        </w:trPr>
        <w:tc>
          <w:tcPr>
            <w:tcW w:w="370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Acquisition of Building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owns a building and property located at 28411 Race Track Road, Bonita Springs, Florida 34135. The property consists of approximately 1.1 acres of land and approximately 10,000 square feet of combined office and warehouse space, and was purchased as part of a bank short sale. The Company moved its operations to these premises on July 15, 2013. The purchase price of the property was $792,758.</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14, 2015, the Company purchased a building and property located at 2528 S. 27th Avenue, Broadview, Illinois 60155. The property consists of approximately 1.33 acres of land and approximately 28,711 square feet of combined office and warehouse space. The purchase price of $914,350 was initially financed primarily by a draw-down of $900,000 on the Company’s credit facility with Fifth Third Bank, National Association (“Fifth Third Bank”). On May 29, 2015, a permanent financing facility was provided by Fifth Third Bank in the form of a loan in the amount of $980,000. $900,000 of this amount was used to pay the balance of the credit facility; the additional $80,000 was used for refrigeration and other improvements at the property. The interest on the loan is at the LIBOR rate plus 3.0%. The building is used for office and warehouse space primarily for the Company’s Artisan subsidiary. We have also recently completed an additional property improvement and upgrade buildout at the Artisan building which include a fully functional commercial test kitchen and training center and conference room. The test kitchen and training room is used by Artisan and other subsidiaries of the Company for the purposes of new product testing and development and approval, Quality Assurance and Quality Control as well as sales presentations and customer demonstrations. In addition, we added a packaging room to the Artisan building, which is built to FDA, FSMA and SQF food safety standards and purchased new, technologically advanced semi-automated fillers for the packaging room. The packaging room addition will allow for expansion of private label product lines as well as packing of organic, non-GMO, diet specific and other specialty foods. The test kitchen, packaging room and additional improvements were financed by a loan from Fifth Third Bank.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on the building and the related improvements, furniture, fixtures, and equipment began when the Company occupied the facility in October, 2015.</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8, 2019 the Company, through a newly formed wholly-owned subsidiary, purchased a logistics and warehouse facility (the “Facility”) for $4.5 million. The Facility is approximately 200,000 square feet and is situated on approximately 15 acres in Mountain Top, Pennsylvania. The Facility’s appraised value by a third party appraisal firm in 2022 was $16,400,000. Related to the Facility purchase, the Company entered into a commercial loan agreement for both the purchase price and planned improvements to the Facility. The amount of the loan was $5,500,000, of which $3,600,000 had been utilized at December 31, 2021 in connection with the purchase of the Facility; the lender is Fifth Third Bank and the loan is secured by a mortgage on the property and other Company assets. The interest on the loan is LIBOR plus 2.75%, with interest only payments due through September 30, 2020, thereafter with principal amortized over 20 years with the balance due at maturity on September 2, 2025. Related to Facility purchase, the Company also acquired certain leases from certain tenants of the Facility, all of which were in good standing at the time of purchase. Depreciation on the building began when the Company commenced recognizing revenue from leasing and logistics services associated with the Facility. On October 5, 2020, the Company completed work to upgrade the Facility at a cost of $2,231,458 in order to better support the Company’s focus on e-commerce and logistics. Of the build out costs, $1,900,000 was funded by the loan described below (See Note 13).</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property and equipment at March 31, 2022 and December 31, 2021:</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4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1,256,895</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1,256,895</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7,191,451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7,191,451</w:t>
            </w: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598,326</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593,566</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376,667</w:t>
            </w: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944,233</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944,233</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109,441</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109,441</w:t>
            </w:r>
          </w:p>
        </w:tc>
        <w:tc>
          <w:tcPr>
            <w:tcW w:w="80" w:type="dxa"/>
            <w:vAlign w:val="bottom"/>
          </w:tcPr>
          <w:p>
            <w:pPr>
              <w:spacing w:after="0"/>
              <w:rPr>
                <w:sz w:val="18"/>
                <w:szCs w:val="18"/>
                <w:color w:val="auto"/>
              </w:rPr>
            </w:pP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10,477,013</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10,472,253</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(2,382,975)</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(2,286,026)</w:t>
            </w:r>
          </w:p>
        </w:tc>
      </w:tr>
      <w:tr>
        <w:trPr>
          <w:trHeight w:val="20"/>
        </w:trPr>
        <w:tc>
          <w:tcPr>
            <w:tcW w:w="4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8,094,038</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8,186,227</w:t>
            </w:r>
          </w:p>
        </w:tc>
        <w:tc>
          <w:tcPr>
            <w:tcW w:w="80" w:type="dxa"/>
            <w:vAlign w:val="bottom"/>
            <w:shd w:val="clear" w:color="auto" w:fill="CCEEFF"/>
          </w:tcPr>
          <w:p>
            <w:pPr>
              <w:spacing w:after="0"/>
              <w:rPr>
                <w:sz w:val="19"/>
                <w:szCs w:val="19"/>
                <w:color w:val="auto"/>
              </w:rPr>
            </w:pP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property and equipment amounted to $96,949 and $100,164 for the three months ended March 31, 2022 and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RIGHT TO USE ASSETS AND LEASE LIABILITIES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OPERATING LEASES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has operating leases for offices, warehouses, vehicles, and office equipment. The Company’s leases have remaining lease terms of 1 year to 3 years, some of which include options to extend.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lease expense for the three months ended March 31, 2022 and 2021 was entirely comprised of operating leases and amounted to $23,244 and $26,855,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ROU asset amortization for the three months ended March 31, 2022 and 2021 was $19,691 and $22,929,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to use assets – operating leases are summarized below:</w:t>
            </w: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0"/>
        </w:trPr>
        <w:tc>
          <w:tcPr>
            <w:tcW w:w="1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80" w:type="dxa"/>
            <w:vAlign w:val="bottom"/>
          </w:tcPr>
          <w:p>
            <w:pPr>
              <w:spacing w:after="0"/>
              <w:rPr>
                <w:sz w:val="24"/>
                <w:szCs w:val="24"/>
                <w:color w:val="auto"/>
              </w:rPr>
            </w:pPr>
          </w:p>
        </w:tc>
      </w:tr>
      <w:tr>
        <w:trPr>
          <w:trHeight w:val="238"/>
        </w:trPr>
        <w:tc>
          <w:tcPr>
            <w:tcW w:w="11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09"/>
        </w:trPr>
        <w:tc>
          <w:tcPr>
            <w:tcW w:w="1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138,496</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148,529</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12,677</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1100" w:type="dxa"/>
            <w:vAlign w:val="bottom"/>
          </w:tcPr>
          <w:p>
            <w:pPr>
              <w:spacing w:after="0"/>
              <w:rPr>
                <w:sz w:val="19"/>
                <w:szCs w:val="19"/>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 operating leases, net</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199,474</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232,381</w:t>
            </w:r>
          </w:p>
        </w:tc>
        <w:tc>
          <w:tcPr>
            <w:tcW w:w="80" w:type="dxa"/>
            <w:vAlign w:val="bottom"/>
            <w:shd w:val="clear" w:color="auto" w:fill="CCEEFF"/>
          </w:tcPr>
          <w:p>
            <w:pPr>
              <w:spacing w:after="0"/>
              <w:rPr>
                <w:sz w:val="19"/>
                <w:szCs w:val="19"/>
                <w:color w:val="auto"/>
              </w:rPr>
            </w:pPr>
          </w:p>
        </w:tc>
        <w:tc>
          <w:tcPr>
            <w:tcW w:w="1080" w:type="dxa"/>
            <w:vAlign w:val="bottom"/>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13"/>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are summarized below:</w:t>
            </w: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10"/>
        </w:trPr>
        <w:tc>
          <w:tcPr>
            <w:tcW w:w="11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80" w:type="dxa"/>
            <w:vAlign w:val="bottom"/>
          </w:tcPr>
          <w:p>
            <w:pPr>
              <w:spacing w:after="0"/>
              <w:rPr>
                <w:sz w:val="24"/>
                <w:szCs w:val="24"/>
                <w:color w:val="auto"/>
              </w:rPr>
            </w:pPr>
          </w:p>
        </w:tc>
      </w:tr>
      <w:tr>
        <w:trPr>
          <w:trHeight w:val="238"/>
        </w:trPr>
        <w:tc>
          <w:tcPr>
            <w:tcW w:w="11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0"/>
        </w:trPr>
        <w:tc>
          <w:tcPr>
            <w:tcW w:w="11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138,496</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148,529</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55,047</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12,677</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9"/>
        </w:trPr>
        <w:tc>
          <w:tcPr>
            <w:tcW w:w="110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199,474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232,381</w:t>
            </w:r>
          </w:p>
        </w:tc>
        <w:tc>
          <w:tcPr>
            <w:tcW w:w="80" w:type="dxa"/>
            <w:vAlign w:val="bottom"/>
            <w:shd w:val="clear" w:color="auto" w:fill="CCEEFF"/>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(63,361)</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(74,088)</w:t>
            </w:r>
          </w:p>
        </w:tc>
        <w:tc>
          <w:tcPr>
            <w:tcW w:w="1080" w:type="dxa"/>
            <w:vAlign w:val="bottom"/>
          </w:tcPr>
          <w:p>
            <w:pPr>
              <w:spacing w:after="0"/>
              <w:rPr>
                <w:sz w:val="18"/>
                <w:szCs w:val="18"/>
                <w:color w:val="auto"/>
              </w:rPr>
            </w:pPr>
          </w:p>
        </w:tc>
      </w:tr>
      <w:tr>
        <w:trPr>
          <w:trHeight w:val="20"/>
        </w:trPr>
        <w:tc>
          <w:tcPr>
            <w:tcW w:w="11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9"/>
        </w:trPr>
        <w:tc>
          <w:tcPr>
            <w:tcW w:w="1100" w:type="dxa"/>
            <w:vAlign w:val="bottom"/>
          </w:tcPr>
          <w:p>
            <w:pPr>
              <w:spacing w:after="0"/>
              <w:rPr>
                <w:sz w:val="21"/>
                <w:szCs w:val="21"/>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136,113</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158,293</w:t>
            </w:r>
          </w:p>
        </w:tc>
        <w:tc>
          <w:tcPr>
            <w:tcW w:w="80" w:type="dxa"/>
            <w:vAlign w:val="bottom"/>
            <w:shd w:val="clear" w:color="auto" w:fill="CCEEFF"/>
          </w:tcPr>
          <w:p>
            <w:pPr>
              <w:spacing w:after="0"/>
              <w:rPr>
                <w:sz w:val="21"/>
                <w:szCs w:val="21"/>
                <w:color w:val="auto"/>
              </w:rPr>
            </w:pPr>
          </w:p>
        </w:tc>
        <w:tc>
          <w:tcPr>
            <w:tcW w:w="1080" w:type="dxa"/>
            <w:vAlign w:val="bottom"/>
          </w:tcPr>
          <w:p>
            <w:pPr>
              <w:spacing w:after="0"/>
              <w:rPr>
                <w:sz w:val="21"/>
                <w:szCs w:val="21"/>
                <w:color w:val="auto"/>
              </w:rPr>
            </w:pPr>
          </w:p>
        </w:tc>
      </w:tr>
      <w:tr>
        <w:trPr>
          <w:trHeight w:val="413"/>
        </w:trPr>
        <w:tc>
          <w:tcPr>
            <w:tcW w:w="1100" w:type="dxa"/>
            <w:vAlign w:val="bottom"/>
          </w:tcPr>
          <w:p>
            <w:pPr>
              <w:spacing w:after="0"/>
              <w:rPr>
                <w:sz w:val="24"/>
                <w:szCs w:val="24"/>
                <w:color w:val="auto"/>
              </w:rPr>
            </w:pPr>
          </w:p>
        </w:tc>
        <w:tc>
          <w:tcPr>
            <w:tcW w:w="380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jc w:val="right"/>
              <w:ind w:right="97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80" w:type="dxa"/>
            <w:vAlign w:val="bottom"/>
          </w:tcPr>
          <w:p>
            <w:pPr>
              <w:spacing w:after="0"/>
              <w:rPr>
                <w:sz w:val="24"/>
                <w:szCs w:val="24"/>
                <w:color w:val="auto"/>
              </w:rPr>
            </w:pPr>
          </w:p>
        </w:tc>
      </w:tr>
      <w:tr>
        <w:trPr>
          <w:trHeight w:val="101"/>
        </w:trPr>
        <w:tc>
          <w:tcPr>
            <w:tcW w:w="1100" w:type="dxa"/>
            <w:vAlign w:val="bottom"/>
            <w:tcBorders>
              <w:bottom w:val="single" w:sz="8" w:color="auto"/>
            </w:tcBorders>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bl>
    <w:p>
      <w:pPr>
        <w:sectPr>
          <w:pgSz w:w="11900" w:h="16838" w:orient="portrait"/>
          <w:cols w:equalWidth="0" w:num="1">
            <w:col w:w="10960"/>
          </w:cols>
          <w:pgMar w:left="460" w:top="121" w:right="47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7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Maturity analysis under these lease agreements are as follows:</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period ended March 31, 2023</w:t>
            </w:r>
          </w:p>
        </w:tc>
        <w:tc>
          <w:tcPr>
            <w:tcW w:w="50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period ended March 31, 2024</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period ended March 31, 2025</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period ended March 31, 2026</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period ended March 31, 2027</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(21,603)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0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Lease liability</w:t>
            </w: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RIGHT TO USE ASSETS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FINANCING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financing leases for vehicles and warehouse equipment. See note 14. Right to use asset – financing leases are summarized below:</w:t>
      </w:r>
    </w:p>
    <w:p>
      <w:pPr>
        <w:spacing w:after="0" w:line="22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4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404,858</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362,358</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1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color w:val="auto"/>
                <w:w w:val="99"/>
              </w:rPr>
              <w:t>555,416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555,416</w:t>
            </w:r>
          </w:p>
        </w:tc>
        <w:tc>
          <w:tcPr>
            <w:tcW w:w="80" w:type="dxa"/>
            <w:vAlign w:val="bottom"/>
          </w:tcPr>
          <w:p>
            <w:pPr>
              <w:spacing w:after="0"/>
              <w:rPr>
                <w:sz w:val="18"/>
                <w:szCs w:val="18"/>
                <w:color w:val="auto"/>
              </w:rPr>
            </w:pPr>
          </w:p>
        </w:tc>
      </w:tr>
      <w:tr>
        <w:trPr>
          <w:trHeight w:val="20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accumulated depreciation</w:t>
            </w: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960,274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917,774</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(279,916)</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(248,735)</w:t>
            </w:r>
          </w:p>
        </w:tc>
      </w:tr>
      <w:tr>
        <w:trPr>
          <w:trHeight w:val="20"/>
        </w:trPr>
        <w:tc>
          <w:tcPr>
            <w:tcW w:w="4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right to use assets - financing leases, net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680,358</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669,039</w:t>
            </w:r>
          </w:p>
        </w:tc>
        <w:tc>
          <w:tcPr>
            <w:tcW w:w="80" w:type="dxa"/>
            <w:vAlign w:val="bottom"/>
            <w:shd w:val="clear" w:color="auto" w:fill="CCEEFF"/>
          </w:tcPr>
          <w:p>
            <w:pPr>
              <w:spacing w:after="0"/>
              <w:rPr>
                <w:sz w:val="19"/>
                <w:szCs w:val="19"/>
                <w:color w:val="auto"/>
              </w:rPr>
            </w:pPr>
          </w:p>
        </w:tc>
      </w:tr>
      <w:tr>
        <w:trPr>
          <w:trHeight w:val="20"/>
        </w:trPr>
        <w:tc>
          <w:tcPr>
            <w:tcW w:w="44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right to use assets for the three months ended March 31, 2022 and 2021 was $31,181 and $32,820,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made investments in certain early stage food related companies which it expects can benefit from synergies with the Company’s various operating businesses. At March 31, 2022 and 2021 the Company has investments in seven food related companies in the aggregate amount of $286,725. The Company does not have significant influence over the operations of these companies.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investments may take the form of debt, equity, or equity in the future including convertible notes and other instruments which provide for future equity under various scenarios including subsequent financings or initial public offerings. The Company has evaluated the guidance in ASC No. 325-20, “Investments – Other”, in determining to account for the investment using the cost method since the equity securities are not marketable and do not give the Company significant influence.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2021, the founder of one of the food related companies passed away in an untimely tragic accident, and as a result the food related company ceased operations and the Company recognized an impairment in the amount of $209,850 in connection with that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acquired certain intangible assets pursuant to the acquisitions through Artisan, Oasis, Innovative Gourmet, OFB, Haley, and M Innovations. These assets include non-compete agreements, customer relationships, trade names, internally developed technology, and goodwill. The Company has also capitalized the development of its website.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detailed in ASC 350 “Intangibles - Goodwill and Other”, the Company tests for goodwill impairment in the fourth quarter of each year and whenever events or changes in circumstances indicate that the carrying amount of the asset exceeds its fair value and may not be recoverable. As detailed in ASC 350-20-35-3A, in performing its testing for goodwill impairment, management has completed a qualitative analysis to determine whether it was more likely than not that the fair value of the Company’s reporting unit is less than its carrying amount, including goodwill. To complete this review, management followed the steps in ASC 350-20-35-3C to evaluate the fair value of goodwill and considered all known events and circumstances that might trigger an impairment of goodwill.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COVID-19 has had a material negative impact on some of the Company’s foodservice customers. In an effort to limit the spread of the virus, federal, state and local governments have implemented measures that have resulted in the closure of non-essential businesses in many of the markets the Company serves, which has forced its customers in those markets to either transition their establishments to take-out service, delivery service or temporarily cease operations. These actions have led to a significant decrease in demand for certain of the Company’s foodservice products. The adverse impact to the Company’s foodservice customer base was a triggering event and accordingly, as required by ASC 350, the Company performed interim goodwill and long-lived asset quantitative impairment tests during the first quarter of 2020. While the triggering event was a result of the negative impact related to foodservice customers, the applicable accounting rules then required an impairment test targeted specifically to any available carrying value of goodwill or intangible assets. During the first quarter of 2020, the Company performed the impairment tests on certain intangible assets and goodwill pursuant to the acquisitions through Artisan, Oasis, Innovative Gourmet and M Innovations; the intangible assets acquired pursuant to the acquisitions of OFB and Haley were fully amortized at the time of the impairment test.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Impairment Test</w:t>
      </w:r>
    </w:p>
    <w:p>
      <w:pPr>
        <w:spacing w:after="0" w:line="2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Long-lived assets, including other intangible assets, were tested for recoverability at the asset group level. The Company estimated the net undiscounted cash flows expected to be generated from the asset group over the expected useful life of the asset group’s primary asset. Key assumptions include future revenues, growth rates, estimates of future levels of gross profit and operating profit and projected capital expenditures necessary to maintain the operating capacity of each asset group. As a result of the impairment test, it was calculated that the net carrying values of other intangible assets exceeded the undiscounted cash flows for each of the Company’s asset groups by a total of $1,048,692, and the Company was required by the applicable accounting rules to record an impairment charge to operations during the year ended December 31, 2020. At March 31, 2022 and December 31, 2021, the net carrying value of other intangible assets on the Company’s balance sheet was $1,594,809 and $1,605,040, respectively.</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acquired certain intangible assets pursuant to the acquisitions through Artisan, Oasis, Innovative Gourmet, OFB, Haley, and M Innovations. The following is the net book value of these assets: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7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20"/>
                <w:szCs w:val="20"/>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 Impairment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 - amortizable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(505,900)</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 amortizable</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3,068,034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(3,068,034)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1,532,822</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Technology - amortizable</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(650,243)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Website - amortizable</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(22,013)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61,987</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6,716,642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(5,121,833)</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1,594,809</w:t>
            </w:r>
          </w:p>
        </w:tc>
        <w:tc>
          <w:tcPr>
            <w:tcW w:w="100" w:type="dxa"/>
            <w:vAlign w:val="bottom"/>
            <w:shd w:val="clear" w:color="auto" w:fill="CCEEFF"/>
          </w:tcPr>
          <w:p>
            <w:pPr>
              <w:spacing w:after="0"/>
              <w:rPr>
                <w:sz w:val="19"/>
                <w:szCs w:val="19"/>
                <w:color w:val="auto"/>
              </w:rPr>
            </w:pP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2021</w:t>
            </w: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7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47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20"/>
                <w:szCs w:val="20"/>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 - amortizable</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(505,900)</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 - amortizable</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3,068,034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(3,068,034)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1,532,822</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Internally Developed Technology</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875,643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(650,243)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Website</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72,218</w:t>
            </w:r>
          </w:p>
        </w:tc>
        <w:tc>
          <w:tcPr>
            <w:tcW w:w="10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6,716,642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(5,111,602)</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1,605,040</w:t>
            </w:r>
          </w:p>
        </w:tc>
        <w:tc>
          <w:tcPr>
            <w:tcW w:w="100" w:type="dxa"/>
            <w:vAlign w:val="bottom"/>
            <w:shd w:val="clear" w:color="auto" w:fill="CCEEFF"/>
          </w:tcPr>
          <w:p>
            <w:pPr>
              <w:spacing w:after="0"/>
              <w:rPr>
                <w:sz w:val="19"/>
                <w:szCs w:val="19"/>
                <w:color w:val="auto"/>
              </w:rPr>
            </w:pP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the three months ended March 31, 2022 and 2021 was $10,231 and $2,870, respectively.</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ACCOUNTS PAYABLE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Accounts payable and accrued liabilities at March 31, 2022 and December 31, 2021 are as follows:</w:t>
      </w:r>
    </w:p>
    <w:p>
      <w:pPr>
        <w:sectPr>
          <w:pgSz w:w="11900" w:h="16838" w:orient="portrait"/>
          <w:cols w:equalWidth="0" w:num="1">
            <w:col w:w="10960"/>
          </w:cols>
          <w:pgMar w:left="460" w:top="12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Trade payables and accrued liabilities</w:t>
      </w:r>
    </w:p>
    <w:p>
      <w:pPr>
        <w:spacing w:after="0" w:line="3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Accrued payroll and commissions</w:t>
      </w:r>
    </w:p>
    <w:p>
      <w:pPr>
        <w:spacing w:after="0" w:line="4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Total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INTEREST</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191"/>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6"/>
        </w:trPr>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4,213,969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5,414,731</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259,471</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288,174</w:t>
            </w:r>
          </w:p>
        </w:tc>
      </w:tr>
      <w:tr>
        <w:trPr>
          <w:trHeight w:val="209"/>
        </w:trPr>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4,473,440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5,702,905</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-445135</wp:posOffset>
            </wp:positionV>
            <wp:extent cx="557212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72125" cy="137160"/>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-162560</wp:posOffset>
            </wp:positionV>
            <wp:extent cx="557212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2125" cy="163195"/>
                    </a:xfrm>
                    <a:prstGeom prst="rect">
                      <a:avLst/>
                    </a:prstGeom>
                    <a:noFill/>
                  </pic:spPr>
                </pic:pic>
              </a:graphicData>
            </a:graphic>
          </wp:anchor>
        </w:drawing>
      </w:r>
    </w:p>
    <w:p>
      <w:pPr>
        <w:spacing w:after="0" w:line="600" w:lineRule="exact"/>
        <w:rPr>
          <w:sz w:val="20"/>
          <w:szCs w:val="20"/>
          <w:color w:val="auto"/>
        </w:rPr>
      </w:pPr>
    </w:p>
    <w:p>
      <w:pPr>
        <w:sectPr>
          <w:pgSz w:w="11900" w:h="16838" w:orient="portrait"/>
          <w:cols w:equalWidth="0" w:num="2">
            <w:col w:w="5900" w:space="720"/>
            <w:col w:w="4340"/>
          </w:cols>
          <w:pgMar w:left="460" w:top="121" w:right="479" w:bottom="1440" w:gutter="0" w:footer="0" w:header="0"/>
          <w:type w:val="continuous"/>
        </w:sectPr>
      </w:pPr>
    </w:p>
    <w:p>
      <w:pPr>
        <w:spacing w:after="0" w:line="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March 31, 2022, accrued interest on notes outstanding was $42,794. During the three months ended March 31, 2022 and 2021, the Company paid cash for interest in the aggregate amount of $84,961 and $83,275,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REVOLVING CREDIT FACILITIES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(unaudited)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Line of credit facility with Fifth Third Bank in the original amount of $2,000,000 with an interest rate of LIBOR plus</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3.00% (the “Fifth Third Bank Line of Credit”). Effective August 1, 2019, this credit facility was extended to August</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1, 2021. Effective as of July 31, 2021 this credit facility was extended to November 1, 2021: effective as of October</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29, 2021, this credit facility was extended to March 1, 2022; and effective March 1, 2022, this credit facility was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extended to June 30, 2022. The debt covenants of this credit facility were waived until June 30, 2022. On March 20,</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 the Company drew down the amount of $2,000,000. During the three months ended March 31, 2022 and 2021,</w:t>
            </w:r>
          </w:p>
        </w:tc>
        <w:tc>
          <w:tcPr>
            <w:tcW w:w="2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3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Company paid interest in the amount of $22,222 and $17,083 respectively, on the Fifth Third Bank Line of Credit.</w:t>
            </w:r>
          </w:p>
        </w:tc>
        <w:tc>
          <w:tcPr>
            <w:tcW w:w="20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NOTES PAYABLE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(unaudited)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Secured mortgage note payable for the acquisition of land and building in Bonita Springs, Florida in the amount of</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$546,000. Principal payments of $4,550 plus interest at the rate of Libor plus 3% are due monthly. The balance of the</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amount was originally due February 28, 2018. On March 23, 2018 and effective February 26, 2018, this note</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was amended and renewed in the amount of $273,000, with monthly payments of principal and interest of $4,550</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 through the maturity date of February 28, 2023. During the three months ended March 31, 2022, the</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Company made payments of principal and interest on this note in the amounts of $13,650 and $504, respectively; and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during the three months ended March 31, 2021, the Company made payments of principal and interest on this note in</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amounts of $13,650 and $927, respectively.</w:t>
            </w:r>
          </w:p>
        </w:tc>
        <w:tc>
          <w:tcPr>
            <w:tcW w:w="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54,600</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Secured mortgage note payable for the acquisition of land and building in Broadview, Illinois in the amount of</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$980,000. Principal payments of $8,167 plus interest at the rate of LIBOR plus 2.75% are due monthly through April</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 the remaining principal balance in the amount of $490,000 was originally due May 29, 2020. Effective May 29,</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 the note was amended and renewed such that principal payments of $8,303 plus accrued interest were due</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beginning June 29, 2020 and continuing for sixty months; the entire principal balance and all accrued interest will be</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on May 29, 2025. During the three months ended March 31, 2022, the Company made payments of principal and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on this note in the amounts of $24,500 and $2,476, respectively; and during the three months ended March 31,</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 the Company made payments of principal and interest on this note in the amounts of $24,500 and $3,212,</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respectively.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326,665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Promissory note dated March 22, 2019 in the original amount of $391,558 (the “Artisan Equipment Loan”) payable to</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Fifth Third Bank. This loan is secured by the Company’s tangible and intangible personal property and bears interest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 the rate of 5.20%. The entire principal balance and all accrued interest is due on the maturity date of March 21,</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 Monthly payments in the amount of $7,425 including principal and interest commenced in April, 2019. During</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year ended December 31, 2019, equipment financed under the Artisan Equipment Loan in the amount of $33,075</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was returned for credit. During the three months ended March 31, 2022, the Company made payments of principal</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 interest on this loan in the amounts of $18,235 and $2,159, respectively; and during the three months ended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March 31, 2021, the Company made payments of principal and interest on this loan in the amounts of $17,313 and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$3,081, respectively.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 note payable in the amount of $20,000. The Note was due in January 2006 and the Company is currently accruing</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on this note at 1.9%. During the three months ended March 31, 2022 and 2021, the Company accrued interest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 the amount of $94 and $93, respectively, on this note; at March 31, 2022 and 2021, accrued interest on this note</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was $17,817 and $17,438 respectively.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Vehicle acquisition loan dated December 6, 2018 in the original amount of $51,088, payable in sixty monthly</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installments of $955 including interest at the rate of 4.61% maturing November 5, 2023. During the three months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ended March 31, 2022, the Company made principal and interest payments in the amount of $2,663 and $232,</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respectively, on this loan; and during the three months ended March 31, 2021, the Company made principal and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payments in the amount of $2,505 and $360, respectively.</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Secured mortgage facility in the amount of $5,500,000 with Fifth Third Bank for the acquisition of land and building</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in Mountaintop, Pennsylvania dated November 8, 2019 (the “Fifth Third Mortgage Facility”). The Fifth Third</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Mortgage Facility is secured by the assets acquired. During the year ended December 31, 2019, the Company drew</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down $3,600,000 of this facility. During the year ended December 31, 2020, the Company drew down an additional</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$1,900,000 of this facility. The interest rate is LIBOR plus 2.75% with interest only due through September 30, 2020,</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thereafter with principal amortized at a 20 years amortization rate and the balance due on the maturity date of</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September 2, 2025. The Company prepaid loan fees in connection with this loan in the amount of $72,916 which are</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considered a discount to the loan and are being amortized over the term of the note; $3,088 of this discount was</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amortized to interest expense during each of the three months ended March 31, 2022 and 2021. During the three</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months ended March 31, 2022 the Company made principal and interest payments in the amount of $33,800 and</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$37,800, respectively, on this loan. During the three months ended March 31, 2021, the Company paid principal and</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interest in the amount of $49,200 and $38,980, respectively, on this loan. The Company also has in place an interest</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rate swap agreement (the “Fifth Third Interest Rate Swap”) with Fifth Third bank in connection with the Fifth Third</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Mortgage Facility. Pursuant to the Fifth Third Interest Rate Swap, the Company pays an additional base rate of 0.59%</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reduced by the difference between an initial LIBOR rate of 0.1513% and the month-end LIBOR rate. During the three</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months ended March 31, 2022 and 2021, the Company paid additional interest in the amount of $5,632 and $6,094,</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respectively, pursuant to the Fifth Third Interest Rate Swap. On March 28, 2022 the Interest Rate Swap was</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terminated. Upon termination the Company received a cash payment of $294,000, which is reflected as a gain on the</w:t>
            </w:r>
          </w:p>
        </w:tc>
        <w:tc>
          <w:tcPr>
            <w:tcW w:w="480" w:type="dxa"/>
            <w:vAlign w:val="bottom"/>
          </w:tcPr>
          <w:p>
            <w:pPr>
              <w:spacing w:after="0"/>
              <w:rPr>
                <w:sz w:val="17"/>
                <w:szCs w:val="17"/>
                <w:color w:val="auto"/>
              </w:rPr>
            </w:pPr>
          </w:p>
        </w:tc>
        <w:tc>
          <w:tcPr>
            <w:tcW w:w="11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5,201,800</w:t>
            </w:r>
          </w:p>
        </w:tc>
        <w:tc>
          <w:tcPr>
            <w:tcW w:w="5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5,235,600</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 on the statement of operations for the three months ended March 31, 2022.</w:t>
            </w:r>
          </w:p>
        </w:tc>
        <w:tc>
          <w:tcPr>
            <w:tcW w:w="4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00"/>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Pr>
          <w:p>
            <w:pPr>
              <w:spacing w:after="0"/>
              <w:rPr>
                <w:sz w:val="24"/>
                <w:szCs w:val="24"/>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5,775,328</w:t>
            </w: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5,868,145</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Discount</w:t>
            </w:r>
          </w:p>
        </w:tc>
        <w:tc>
          <w:tcPr>
            <w:tcW w:w="4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(42,923)</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(46,012)</w:t>
            </w:r>
          </w:p>
        </w:tc>
        <w:tc>
          <w:tcPr>
            <w:tcW w:w="0" w:type="dxa"/>
            <w:vAlign w:val="bottom"/>
          </w:tcPr>
          <w:p>
            <w:pPr>
              <w:spacing w:after="0"/>
              <w:rPr>
                <w:sz w:val="1"/>
                <w:szCs w:val="1"/>
                <w:color w:val="auto"/>
              </w:rPr>
            </w:pPr>
          </w:p>
        </w:tc>
      </w:tr>
      <w:tr>
        <w:trPr>
          <w:trHeight w:val="251"/>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Net of discount</w:t>
            </w:r>
          </w:p>
        </w:tc>
        <w:tc>
          <w:tcPr>
            <w:tcW w:w="4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5,732,405</w:t>
            </w:r>
          </w:p>
        </w:tc>
        <w:tc>
          <w:tcPr>
            <w:tcW w:w="5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5,822,133</w:t>
            </w:r>
          </w:p>
        </w:tc>
        <w:tc>
          <w:tcPr>
            <w:tcW w:w="0" w:type="dxa"/>
            <w:vAlign w:val="bottom"/>
          </w:tcPr>
          <w:p>
            <w:pPr>
              <w:spacing w:after="0"/>
              <w:rPr>
                <w:sz w:val="1"/>
                <w:szCs w:val="1"/>
                <w:color w:val="auto"/>
              </w:rPr>
            </w:pPr>
          </w:p>
        </w:tc>
      </w:tr>
      <w:tr>
        <w:trPr>
          <w:trHeight w:val="397"/>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portion</w:t>
            </w:r>
          </w:p>
        </w:tc>
        <w:tc>
          <w:tcPr>
            <w:tcW w:w="4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455,414</w:t>
            </w:r>
          </w:p>
        </w:tc>
        <w:tc>
          <w:tcPr>
            <w:tcW w:w="5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458,973</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Long-term maturities</w:t>
            </w:r>
          </w:p>
        </w:tc>
        <w:tc>
          <w:tcPr>
            <w:tcW w:w="480" w:type="dxa"/>
            <w:vAlign w:val="bottom"/>
          </w:tcPr>
          <w:p>
            <w:pPr>
              <w:spacing w:after="0"/>
              <w:rPr>
                <w:sz w:val="18"/>
                <w:szCs w:val="18"/>
                <w:color w:val="auto"/>
              </w:rPr>
            </w:pP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5,319,914</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5,409,172</w:t>
            </w:r>
          </w:p>
        </w:tc>
        <w:tc>
          <w:tcPr>
            <w:tcW w:w="0" w:type="dxa"/>
            <w:vAlign w:val="bottom"/>
          </w:tcPr>
          <w:p>
            <w:pPr>
              <w:spacing w:after="0"/>
              <w:rPr>
                <w:sz w:val="1"/>
                <w:szCs w:val="1"/>
                <w:color w:val="auto"/>
              </w:rPr>
            </w:pPr>
          </w:p>
        </w:tc>
      </w:tr>
      <w:tr>
        <w:trPr>
          <w:trHeight w:val="251"/>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5,775,328</w:t>
            </w:r>
          </w:p>
        </w:tc>
        <w:tc>
          <w:tcPr>
            <w:tcW w:w="5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5,868,145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-3664585</wp:posOffset>
            </wp:positionV>
            <wp:extent cx="6960870" cy="36690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60870" cy="366903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of long-term notes payable as of March 31, 2022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 ended March 31,</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455,415</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388,838</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309,908</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4,621,167</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4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60" w:type="dxa"/>
            <w:vAlign w:val="bottom"/>
            <w:gridSpan w:val="2"/>
          </w:tcPr>
          <w:p>
            <w:pPr>
              <w:ind w:left="2740"/>
              <w:spacing w:after="0"/>
              <w:rPr>
                <w:sz w:val="20"/>
                <w:szCs w:val="20"/>
                <w:color w:val="auto"/>
              </w:rPr>
            </w:pPr>
            <w:r>
              <w:rPr>
                <w:rFonts w:ascii="Times New Roman" w:cs="Times New Roman" w:eastAsia="Times New Roman" w:hAnsi="Times New Roman"/>
                <w:sz w:val="18"/>
                <w:szCs w:val="18"/>
                <w:color w:val="auto"/>
              </w:rPr>
              <w:t>Total</w:t>
            </w:r>
          </w:p>
        </w:tc>
        <w:tc>
          <w:tcPr>
            <w:tcW w:w="2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5,775,328</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0" w:type="dxa"/>
            <w:vAlign w:val="bottom"/>
            <w:vMerge w:val="restart"/>
          </w:tcPr>
          <w:p>
            <w:pPr>
              <w:jc w:val="right"/>
              <w:ind w:right="990"/>
              <w:spacing w:after="0"/>
              <w:rPr>
                <w:sz w:val="20"/>
                <w:szCs w:val="20"/>
                <w:color w:val="auto"/>
              </w:rPr>
            </w:pPr>
            <w:r>
              <w:rPr>
                <w:rFonts w:ascii="Times New Roman" w:cs="Times New Roman" w:eastAsia="Times New Roman" w:hAnsi="Times New Roman"/>
                <w:sz w:val="18"/>
                <w:szCs w:val="18"/>
                <w:color w:val="auto"/>
              </w:rPr>
              <w:t>19</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7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4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121"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 LIABILITIES - FINANCING LEASES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(unaudited)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obligation under a lease agreement for a forklift dated July 12, 2021 in the original amount of $16,070</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payable in thirty-six monthly installments of $489 including interest at the rate of 6.01%. During the three months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ended March 31, 2022, the Company made principal and interest payments on this lease obligation in the amounts of</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$1,269 and $198, respectively.</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obligation under a lease agreement for a pallet truck dated July 15, 2021 in the original amount of</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$5,816 payable in thirty-six monthly installments of $177 including interest at the rate of 6.01%. During the three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months ended March 31, 2022, the Company made principal and interest payments on this lease obligation in the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of $459 and $72, respectively.</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obligation under a lease agreement for warehouse furniture and equipment truck dated October 14,</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2020 in the original amount of $514,173 payable in sixty monthly installments of $9,942 including interest at the rate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of 6.01%. During the three months ended March 31, 2022, the Company made principal and interest payments on this</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obligation in the amount of $23,944 and $5,882, respectively. During the three months ended March 31, 2021,</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Company made principal and interest payments on this lease obligation in the amount of $22,552 and $7,274,</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obligation under a lease agreement for a truck dated March 31, 2020 in the original amount of</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$152,548 payable in eighty-four monthly installments of $2,188 including interest at the rate of 5.44%. During the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three months ended March 31, 2022, the Company made principal and interest payments on this lease obligation in</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amounts of $4,980 and $1,584, respectively. During the three months ended March 31, 2021, the Company made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and interest payments on this lease obligation in the amounts of $4,716 and $1,847, respectively.</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obligation under a lease agreement for a truck dated November 5, 2018 in the original amount of</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$128,587 payable in seventy monthly installments of $2,326 including interest at the rate of 8.33%. During the three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months ended March 31, 2022, the Company made principal and interest payments on this lease obligation in the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of $5,630 and $1,346, respectively. During the three months ended March 31, 2021, the Company made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and interest payments on this lease obligation in the amounts of $5,182 and $1,795, respectively.</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obligation under a lease agreement for a truck dated August 23, 2019 in the original amount of</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$80,413 payable in eighty-four monthly installments of $1,148 including interest at the rate of 5.0%. During the three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months ended March 31, 2022, the Company made principal and interest payments on this lease obligation in the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of $2,751 and $692, respectively. During the three months ended March 31, 2021, the Company made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and interest payments on this lease obligation in the amounts of $2,618 and $826, respectively.</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obligation under a lease agreement for a truck dated February 4, 2022 in the original amount of</w:t>
            </w: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$42,500 payable in twenty-four monthly installments of $1,963 including interest at the rate of 10.1%. During the</w:t>
            </w: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three months ended March 31, 2022, the Company made principal and interest payments on this lease obligation in</w:t>
            </w:r>
          </w:p>
        </w:tc>
        <w:tc>
          <w:tcPr>
            <w:tcW w:w="20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40,896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amounts of $1,604 and $359, respectively.</w:t>
            </w: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660,926</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659,063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portion</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182,664</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Times New Roman" w:cs="Times New Roman" w:eastAsia="Times New Roman" w:hAnsi="Times New Roman"/>
                <w:sz w:val="16"/>
                <w:szCs w:val="16"/>
                <w:color w:val="auto"/>
              </w:rPr>
              <w:t>Long-term maturities</w:t>
            </w: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478,262</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499,240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660,926</w:t>
            </w:r>
          </w:p>
        </w:tc>
        <w:tc>
          <w:tcPr>
            <w:tcW w:w="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659,063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20" w:name="page21"/>
    <w:bookmarkEnd w:id="20"/>
    <w:p>
      <w:pPr>
        <w:ind w:left="2"/>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Aggregate maturities of lease liabilities – financing leases as of March 31, 2022 are as follows: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For the period ended March 31,</w:t>
      </w:r>
    </w:p>
    <w:p>
      <w:pPr>
        <w:spacing w:after="0" w:line="243" w:lineRule="exact"/>
        <w:rPr>
          <w:sz w:val="20"/>
          <w:szCs w:val="20"/>
          <w:color w:val="auto"/>
        </w:rPr>
      </w:pPr>
    </w:p>
    <w:tbl>
      <w:tblPr>
        <w:tblLayout w:type="fixed"/>
        <w:tblInd w:w="2742" w:type="dxa"/>
        <w:tblCellMar>
          <w:top w:w="0" w:type="dxa"/>
          <w:left w:w="0" w:type="dxa"/>
          <w:bottom w:w="0" w:type="dxa"/>
          <w:right w:w="0" w:type="dxa"/>
        </w:tblCellMar>
      </w:tblP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182,665</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193,226</w:t>
            </w: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160,994</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96,069</w:t>
            </w: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27,972</w:t>
            </w: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660,926</w:t>
            </w:r>
          </w:p>
        </w:tc>
      </w:tr>
      <w:tr>
        <w:trPr>
          <w:trHeight w:val="20"/>
        </w:trPr>
        <w:tc>
          <w:tcPr>
            <w:tcW w:w="23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194" w:lineRule="exact"/>
        <w:rPr>
          <w:sz w:val="20"/>
          <w:szCs w:val="20"/>
          <w:color w:val="auto"/>
        </w:rPr>
      </w:pPr>
    </w:p>
    <w:p>
      <w:pPr>
        <w:ind w:left="2" w:right="7560" w:hanging="2"/>
        <w:spacing w:after="0" w:line="532" w:lineRule="auto"/>
        <w:tabs>
          <w:tab w:leader="none" w:pos="272"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For the three months ended March 31, 2022:</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Vesting of shares to officers</w:t>
      </w:r>
    </w:p>
    <w:p>
      <w:pPr>
        <w:spacing w:after="0" w:line="225"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in connection with stock based compensation based upon the terms of employment agreements with its employees and compensation agreements with the Company’s independent board members, the Company charged to operations the amount of $10,000 for the vesting of a total of 25,812 shares of common stock issuable to two of its independent board members, and $140,400 for the vesting of a total of 438,703 shares of common stock issuable to its Chief Executive Officer and its Director of Strategic Acquisitions pursuant to their employment agreements. The Company also recognized non-cash compensation in the amount of $2,326 during the three months ended March 31, 2022 in connection with stock options issuable to management and board members.</w:t>
      </w:r>
    </w:p>
    <w:p>
      <w:pPr>
        <w:spacing w:after="0" w:line="1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2021:</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Vesting of shares to officers</w:t>
      </w:r>
    </w:p>
    <w:p>
      <w:pPr>
        <w:spacing w:after="0" w:line="225"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2021 in connection with stock based compensation based upon the terms of employment agreements with its employees and compensation agreements with the Company’s independent board members, the Company charged to operations the amount of $22,500 for the vesting of a total of 50,070 shares of common stock issuable to two of its independent board members, and $99,211 for the vesting of a total of 236,184 shares of common stock issuable to its Chief Executive Officer and its Director of Strategic Acquisitions pursuant to their employment agreements. The Company also recognized non-cash compensation in the amount of $36,080 during the three months ended March 31, 2021 in connection with stock options issuable to management and board members.</w:t>
      </w:r>
    </w:p>
    <w:p>
      <w:pPr>
        <w:spacing w:after="0" w:line="1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16. COMMITMENTS AND CONTINGENT LIABILITIES</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Contingent Liability</w:t>
      </w:r>
    </w:p>
    <w:p>
      <w:pPr>
        <w:spacing w:after="0" w:line="225" w:lineRule="exact"/>
        <w:rPr>
          <w:sz w:val="20"/>
          <w:szCs w:val="20"/>
          <w:color w:val="auto"/>
        </w:rPr>
      </w:pPr>
    </w:p>
    <w:p>
      <w:pPr>
        <w:jc w:val="both"/>
        <w:ind w:left="2" w:right="20"/>
        <w:spacing w:after="0" w:line="254" w:lineRule="auto"/>
        <w:rPr>
          <w:sz w:val="20"/>
          <w:szCs w:val="20"/>
          <w:color w:val="auto"/>
        </w:rPr>
      </w:pPr>
      <w:r>
        <w:rPr>
          <w:rFonts w:ascii="Times New Roman" w:cs="Times New Roman" w:eastAsia="Times New Roman" w:hAnsi="Times New Roman"/>
          <w:sz w:val="18"/>
          <w:szCs w:val="18"/>
          <w:color w:val="auto"/>
        </w:rPr>
        <w:t>Pursuant to the igourmet Asset Purchase Agreement, the Company recorded contingent liabilities in the original amount of $787,800. This amount relates to certain performance-based payments over the twenty-four months following the acquisition date as well as to certain additional liabilities that the Company has evaluated and has recorded on a contingent basis. During the year ended December 31, 2018, the Company reduced this amount by $392,900 as the performance goals for the first year were not met. During the year ended December 31, 2019, the Company reduced this amount by $132,300 as the performance goals for the second year were not met. During the year ended December 31, 2019, the Company paid the amount of $39,000 in connection with the additional liabilities. During the three months ended March 31, 2022 and 2021, the Company paid the amount of $0 and $8,000, respectively, in connection with the additional liabilities. At March 31, 2022 and December 31, 2021, the amount of $67,000 remains on the Company’s consolidated balance sheet as a current contingent liability, and $108,600 and $108,600, respectively, as a long term contingent liability.</w:t>
      </w:r>
    </w:p>
    <w:p>
      <w:pPr>
        <w:spacing w:after="0" w:line="192"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color w:val="auto"/>
        </w:rPr>
        <w:t>Pursuant to the Mouth Foods LLC Asset Acquisition, the Company recorded contingent liabilities in the amount of $240,576. These amounts relate to the estimate of certain performance-based payments following the acquisition date as well as to certain additional liabilities that the Company has evaluated and has recorded on a contingent basis. During the year ended December 31, 2019, the Company paid the amount of $120,576 in connection with these liabilities. At March 31, 2022 and December 31, 2021, $120,000 is classified as a current contingent liability.</w:t>
      </w:r>
    </w:p>
    <w:p>
      <w:pPr>
        <w:spacing w:after="0" w:line="18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69608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2"/>
          </w:cols>
          <w:pgMar w:left="458" w:top="121"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License Agreements</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 May 2019, the Company entered into a royalty-based license agreement, through December 31, 2022 with a lifestyle brand, which provides the exclusive right, with certain carve-outs and limitations, to sell and promote branded gift baskets for certain channels including: retail, warehouse club stores, certain of the Company’s current e-commerce channels, and other e-commerce channels such as amazon.com (the “May 2019 License Agreement”). Pursuant to the May 2019 License Agreement, the Company paid an initial royalty deposit in the amount of $50,000 towards the minimum royalty, which is classified as other current assets on the Company’s balance sheet at December 31, 2019. Future royalty amounts owed for minimum payments in connection with the May 2019 License Agreement will be deducted from this deposit. The royalty rate is 5% of net sales, and the Company is required, with certain exceptions and exclusions, to make minimum royalty payments of $100,000 through the end of 2020, $110,000 in 2021, and $125,000 in 2022. As of March 31, 2022, the Company has made the required minimum royalty payments.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On September 16, 2019, an action (the “PA Action”) was filed in the Court of Common Pleas of Philadelphia County, Trial Division, against, among others, the Company and its wholly-owned subsidiaries, Innovative Gourmet LLC and Food Innovations, Inc. Since that time, other parties involved in the incident have joined as plaintiffs in the PA Action. The complaint in the PA Action alleges, inter alia, wrongful death and negligence by a driver employed by Innovative Gourmet and indicates a demand and offer to settle for fifty million dollars. We expect that should a settlement occur the amount to resolve the Action would be substantially lower. The Company and its subsidiaries had auto and umbrella insurance policies, among others, that were in effect for the relevant period The Company and its subsidiaries’ insurers have agreed to defend the Company and its subsidiaries in the PA Action (and the related action), subject to a reservation of rights. The Company believes that the likely outcome would result in the liabilities being covered by its insurance carriers. However, if the Company was found responsible for damages in excess of its available insurance coverage, such damages in excess of the coverage could have a material adverse effect on the Company’s operations. On July 16, 2020, the court granted the Company's motion to stay the case through the final adjudication of an additional pending legal proceeding against the driver in connection with the events related to the case. Because the statute of limitations on the incident has now run, it is not anticipated that any new plaintiffs involved in the incident will come forward against the Company and its subsidiaries.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2022 and December 31, 2021, a total of 2,837,580 shares are deemed issued but not outstanding by the Company. These include 2,623,171 shares of treasury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March 31, 2022:</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2022 in connection with stock based compensation based upon the terms of employment agreements with its employees and compensation agreements with the Company’s independent board members, the Company charged to operations the amount of $10,000 for the vesting of a total of 25,812 shares of common stock issuable to two of its independent board members, and $140,400 for the vesting of a total of 438,703 shares of common stock issuable to its Chief Executive Officer and its Director of Strategic Acquisitions pursuant to their employment agreement. The Company also recognized non-cash compensation in the amount of $2,326 during the three months ended March 31, 2022 in connection with stock options issuable to management and board members.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months ended March 31, 2021:</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2021 in connection with stock based compensation based upon the terms of employment agreements with its employees and compensation agreements with the Company’s independent board members, the Company charged to operations the amount of $22,500 for the vesting of a total of 50,070 shares of common stock issuable to two of its independent board members, and $99,211 for the vesting of a total of 236,184 shares of common stock issuable to its Chief Executive Officer and its Director of Strategic Acquisitions pursuant to their employment agreements. The Company also recognized non-cash compensation in the amount of $36,080 during the three months ended March 31, 2021 in connection with stock options issuable to management and board members.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options outstanding at March 31, 2022 and the related prices for the options to purchase shares of the Company’s common stock issued by the Company: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16"/>
        </w:trPr>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Range of</w:t>
            </w:r>
          </w:p>
        </w:tc>
        <w:tc>
          <w:tcPr>
            <w:tcW w:w="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 w:type="dxa"/>
            <w:vAlign w:val="bottom"/>
          </w:tcPr>
          <w:p>
            <w:pPr>
              <w:spacing w:after="0"/>
              <w:rPr>
                <w:sz w:val="18"/>
                <w:szCs w:val="18"/>
                <w:color w:val="auto"/>
              </w:rPr>
            </w:pPr>
          </w:p>
        </w:tc>
        <w:tc>
          <w:tcPr>
            <w:tcW w:w="12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price of</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 of</w:t>
            </w:r>
          </w:p>
        </w:tc>
      </w:tr>
      <w:tr>
        <w:trPr>
          <w:trHeight w:val="216"/>
        </w:trPr>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2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00" w:type="dxa"/>
            <w:vAlign w:val="bottom"/>
          </w:tcPr>
          <w:p>
            <w:pPr>
              <w:spacing w:after="0"/>
              <w:rPr>
                <w:sz w:val="18"/>
                <w:szCs w:val="18"/>
                <w:color w:val="auto"/>
              </w:rPr>
            </w:pPr>
          </w:p>
        </w:tc>
        <w:tc>
          <w:tcPr>
            <w:tcW w:w="12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38"/>
        </w:trPr>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Prices</w:t>
            </w:r>
          </w:p>
        </w:tc>
        <w:tc>
          <w:tcPr>
            <w:tcW w:w="2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life (years)</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0"/>
                <w:szCs w:val="20"/>
                <w:color w:val="auto"/>
              </w:rPr>
            </w:pPr>
          </w:p>
        </w:tc>
      </w:tr>
      <w:tr>
        <w:trPr>
          <w:trHeight w:val="209"/>
        </w:trPr>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shd w:val="clear" w:color="auto" w:fill="CCEEFF"/>
          </w:tcPr>
          <w:p>
            <w:pPr>
              <w:spacing w:after="0"/>
              <w:rPr>
                <w:sz w:val="18"/>
                <w:szCs w:val="18"/>
                <w:color w:val="auto"/>
              </w:rPr>
            </w:pPr>
          </w:p>
        </w:tc>
      </w:tr>
      <w:tr>
        <w:trPr>
          <w:trHeight w:val="216"/>
        </w:trPr>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18"/>
                <w:szCs w:val="18"/>
                <w:color w:val="auto"/>
              </w:rPr>
            </w:pPr>
          </w:p>
        </w:tc>
      </w:tr>
      <w:tr>
        <w:trPr>
          <w:trHeight w:val="216"/>
        </w:trPr>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shd w:val="clear" w:color="auto" w:fill="CCEEFF"/>
          </w:tcPr>
          <w:p>
            <w:pPr>
              <w:spacing w:after="0"/>
              <w:rPr>
                <w:sz w:val="18"/>
                <w:szCs w:val="18"/>
                <w:color w:val="auto"/>
              </w:rPr>
            </w:pPr>
          </w:p>
        </w:tc>
      </w:tr>
      <w:tr>
        <w:trPr>
          <w:trHeight w:val="216"/>
        </w:trPr>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r>
      <w:tr>
        <w:trPr>
          <w:trHeight w:val="216"/>
        </w:trPr>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1,100,000</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1,075,000</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8"/>
                <w:szCs w:val="18"/>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2,037,500</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Transactions involving stock options are summarized as follows:</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10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110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 / Expired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00" w:type="dxa"/>
            <w:vAlign w:val="bottom"/>
          </w:tcPr>
          <w:p>
            <w:pPr>
              <w:spacing w:after="0"/>
              <w:rPr>
                <w:sz w:val="20"/>
                <w:szCs w:val="20"/>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March 31, 2022 (unaudited)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gridSpan w:val="2"/>
          </w:tcPr>
          <w:p>
            <w:pPr>
              <w:ind w:left="1100"/>
              <w:spacing w:after="0" w:line="196" w:lineRule="exact"/>
              <w:rPr>
                <w:sz w:val="20"/>
                <w:szCs w:val="20"/>
                <w:color w:val="auto"/>
              </w:rPr>
            </w:pPr>
            <w:r>
              <w:rPr>
                <w:rFonts w:ascii="Times New Roman" w:cs="Times New Roman" w:eastAsia="Times New Roman" w:hAnsi="Times New Roman"/>
                <w:sz w:val="18"/>
                <w:szCs w:val="18"/>
                <w:color w:val="auto"/>
              </w:rPr>
              <w:t>Options exercisable at March 31, 2022 (unaudited)</w:t>
            </w: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2,037,500</w:t>
            </w:r>
          </w:p>
        </w:tc>
        <w:tc>
          <w:tcPr>
            <w:tcW w:w="3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0.99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 intrinsic value of options outstanding and exercisable at March 31, 2022 and 2021 was $0. Aggregate intrinsic value represents the difference between the Company’s closing stock price on the last trading day of the fiscal period, which was $0.30 and $0.43 as of March 31, 2022 and 2021, respectively, and the exercise price multiplied by the number of options outstanding.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charged $2,326 and $36,080, respectively, to operations to recognized stock-based compensation expense for employee and board member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26, 2022, the Company engaged a consultant for services and issued the following securities as compensation: 142,857 shares of common stock with a fair value of $48,543, options to purchase 125,000 shares of common stock at a price of $0.41 per share with a fair value of $37,482; and options to purchase 125,000 shares of common stock at a price of $0.50 per share with a fair value of $36,386.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consolidated financial statements and the related notes thereto, as well as all other related notes, and financial and operational references, appearing elsewhere in this document.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information contained in this discussion and elsewhere in this report may include “forward-looking statements” within the meaning of the Private Securities Litigation Reform Act of 1995, and is subject to the safe harbor created by that act. The safe harbor created by the Private Securities Litigation Reform Act will not apply to certain “forward looking statements” because we issued “penny stock” (as defined in Section 3(a)(51) of the Securities Exchange Act of 1934 and Rule 3(a)(51-1) under the Exchange Act) during the three year period preceding the date(s) on which those forward looking statements were first made, except to the extent otherwise specifically provided by rule, regulation or order of the Securities and Exchange Commission. We caution readers that certain important factors may affect our actual results and could cause such results to differ materially from any forward-looking statements which may be deemed to have been made in this Report or which are otherwise made by or on our behalf. For this purpose, any statements contained in this report that are not statements of historical fact may be deemed to be forward-looking statements. Without limiting the generality of the foregoing, words such as “may”, “will”, “expect”, “believe”, “explore”, “consider”, “anticipate”, “intend”, “could”, “estimate”, “plan”, “propose” or “continue” or the negative variations of those words or comparable terminology are intended to identify forward-looking statements. Factors that may affect our results include, but are not limited to, the risks and uncertainties associated with:</w:t>
      </w:r>
    </w:p>
    <w:p>
      <w:pPr>
        <w:spacing w:after="0" w:line="192" w:lineRule="exact"/>
        <w:rPr>
          <w:sz w:val="20"/>
          <w:szCs w:val="20"/>
          <w:color w:val="auto"/>
        </w:rPr>
      </w:pPr>
    </w:p>
    <w:p>
      <w:pPr>
        <w:ind w:left="320" w:hanging="317"/>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necessary to sustain our anticipated operations and implement our business plan,</w:t>
      </w:r>
    </w:p>
    <w:p>
      <w:pPr>
        <w:spacing w:after="0" w:line="225"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business plan,</w:t>
      </w:r>
    </w:p>
    <w:p>
      <w:pPr>
        <w:spacing w:after="0" w:line="225"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sufficient cash to pay our lenders and other creditors,</w:t>
      </w:r>
    </w:p>
    <w:p>
      <w:pPr>
        <w:spacing w:after="0" w:line="225"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one major customer,</w:t>
      </w:r>
    </w:p>
    <w:p>
      <w:pPr>
        <w:spacing w:after="0" w:line="225"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qualified management and employees,</w:t>
      </w:r>
    </w:p>
    <w:p>
      <w:pPr>
        <w:spacing w:after="0" w:line="225"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efforts and abilities of our current employees and executive officers,</w:t>
      </w:r>
    </w:p>
    <w:p>
      <w:pPr>
        <w:spacing w:after="0" w:line="225"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that are applicable to our current or anticipated business,</w:t>
      </w:r>
    </w:p>
    <w:p>
      <w:pPr>
        <w:spacing w:after="0" w:line="225"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services and different food trends,</w:t>
      </w:r>
    </w:p>
    <w:p>
      <w:pPr>
        <w:spacing w:after="0" w:line="225"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nature of our competition,</w:t>
      </w:r>
    </w:p>
    <w:p>
      <w:pPr>
        <w:spacing w:after="0" w:line="225"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diversification of our business plan,</w:t>
      </w:r>
    </w:p>
    <w:p>
      <w:pPr>
        <w:spacing w:after="0" w:line="225" w:lineRule="exact"/>
        <w:rPr>
          <w:rFonts w:ascii="Times New Roman" w:cs="Times New Roman" w:eastAsia="Times New Roman" w:hAnsi="Times New Roman"/>
          <w:sz w:val="18"/>
          <w:szCs w:val="18"/>
          <w:color w:val="auto"/>
        </w:rPr>
      </w:pPr>
    </w:p>
    <w:p>
      <w:pPr>
        <w:ind w:left="320" w:hanging="317"/>
        <w:spacing w:after="0"/>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volatility of the capital markets and the establishment of a market for our shares, and</w:t>
      </w:r>
    </w:p>
    <w:p>
      <w:pPr>
        <w:spacing w:after="0" w:line="225" w:lineRule="exact"/>
        <w:rPr>
          <w:rFonts w:ascii="Times New Roman" w:cs="Times New Roman" w:eastAsia="Times New Roman" w:hAnsi="Times New Roman"/>
          <w:sz w:val="18"/>
          <w:szCs w:val="18"/>
          <w:color w:val="auto"/>
        </w:rPr>
      </w:pPr>
    </w:p>
    <w:p>
      <w:pPr>
        <w:jc w:val="both"/>
        <w:ind w:left="320" w:right="20" w:hanging="317"/>
        <w:spacing w:after="0" w:line="26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economic and financial conditions primarily from the impact of past terrorist attacks in the United States, threats of future attacks, police and military activities overseas and other disruptive worldwide political and economic events, health pandemics, rising inflation and environmental weather conditions.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other risks detailed from time to time in our other filings with the SEC and elsewhere in this report. 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Policy and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 in the Preparation of Financial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these financial statements requires us to make estimates and judgments that affect the reported amounts of assets, liabilities, revenues and expenses, and related disclosure of contingent assets and liabilities. These estimates include certain assumptions related to doubtful accounts receivable, stock-based services, valuation of financial instruments, operating right of use assets and liabilities, and income taxes. On an on-going basis, we evaluate these estimates, including those related to revenue recognition and concentration of credit risk.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Accounts subject to estimate and judgements are accounts receivable reserves, income taxes, intangible assets, contingent liabilities, and equity-based instruments. Actual results may differ from these estimates under different assumptions or conditions. We believe our estimates have not been materially inaccurate in past years, and our assumptions are not likely to change in the foreseeable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Doubtful Accounts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maintained an allowance in the amount of $373,828 for doubtful accounts receivable at March 31, 2022, and $375,931 at December 31, 2021. The Company has an operational relationship of several years with our major customers, and we believe this experience provides us with a solid foundation from which to estimate our expected losses on accounts receivable. Should our sales mix change or if we develop new lines of business or new customers, these estimates and our estimation process will change accordingly. These estimates have been accurate in the past.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measures its financial assets and liabilities in accordance with accounting principles generally accepted in the United States of America. The estimated fair values approximate their carrying value because of the short-term maturity of these instruments or the stated interest rates are indicative of market interest rates. These fair values have historically varied due to the market price of the Company’s stock at the date of valuation.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uses the liability method of accounting for income taxes. Deferred tax assets and liabilities are recognized for the future tax consequences attributable to financial statements carrying amounts of existing assets and liabilities and their respective tax bases and operating loss and tax credit carry-forwards. The measurement of deferred tax assets and liabilities is based on provisions of applicable tax law. The measurement of deferred tax assets is reduced, if necessary, by a valuation allowance based on the amount of tax benefits that, based on available evidence, is not expected to be realized.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 right-of-use assets (“ROU assets”) and short-term and long-term lease liabilities are included on the face of the condensed consolidated balance sheet. Finance lease ROU assets are presented within other assets, and finance lease liabilities are presented within accrued liabilities.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ROU assets represent the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As most of the Company’s leases do not provide an implicit rate, the Company uses an incremental borrowing rate based on the information available at commencement date in determining the present value of lease payments. The operating lease ROU asset also excludes lease incentives. The Company’s lease terms may include options to extend or terminate the lease when it is reasonably certain that the Company will exercise that option. Lease expense for lease payments is recognized on a straight-line basis over the lease term. The Company has lease agreements with lease and non-lease components, which are accounted for as a single lease component. For lease agreements with terms less than 12 months, the Company has elected the short-term lease measurement and recognition exemption, and it recognizes such lease payments on a straight-line basis over the lease term.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were initially formed in June 1979 as Alpha Solarco Inc., a Colorado corporation. From June 1979 through February 2003, we were either inactive or involved in discontinued business ventures. We changed our name to Fiber Application Systems Technology, Ltd in February 2003. In January 2004, we changed our state of incorporation by merging into Innovative Food Holdings, Inc. (“IVFH”), a Florida corporation formed for that purpose. As a result of the merger, we changed our name to that of Innovative Food Holdings, Inc. In January 2004, we also acquired Food Innovations, Inc. (“FII” or “Food Innovations”), a Delaware corporation, for 500,000 shares of our common stock.</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2, 2012, the Company entered into an asset purchase agreement (the “Haley Acquisition”) with The Haley Group, LLC whereby we acquired all existing assets of The Haley Group, LLC and its customers. The Haley Acquisition was valued at a total cost of $119,645.</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30, 2014, pursuant to a purchase agreement, the Company purchased 100% of the membership interest of Organic Food Brokers, LLC, a Colorado limited liability company (“OFB”), for $300,000, 100,000 four-year options at a price of $1.46 per share, and up to an additional $225,000 in earn-outs if certain milestones are met.</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Pursuant to an Asset Purchase Agreement dated as of January 1, 2017 the Company’s wholly-owned subsidiary, Oasis Sales Corp. (“Oasis”), purchased substantially all of the assets of Oasis Sales and Marketing, L.L.C. for $300,000 cash; a $200,000 structured equity instrument which can be paid in cash or shares of the Company stock at the Company’s option, anytime under certain conditions, or is automatically payable via the issuance of 200,000 shares if the Company’s shares close above $1.00 for ten consecutive days; a $100,000 note; and up to an additional $400,000 in earn-outs over two years if certain milestones are met. The Agreement also contains claw-back provisions if certain revenue conditions are not met.</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On August 15, 2014, pursuant to a merger agreement, the Company acquired The Fresh Diet, Inc. (“FD”). Effective February 23, 2016, the Company closed a transaction to sell 90% of our ownership in FD for consideration consisting primarily of a restructuring of our loans, which includes the ability to convert to additional amounts of FD under certain circumstances. There is no continuing cash inflows or outflows from or to the discontinued operations.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Effective January 24, 2018, pursuant to an asset acquisition agreement (the “igourmet Asset Acquisition Agreement”), our wholly-owned subsidiary, Innovative Gourmet, LLC acquired substantially all of the assets and certain liabilities of igourmet LLC and igourmet NY LLC, privately-held New York limited liability companies located in West Pittston, Pennsylvania and engaged in the sale, marketing, and distribution of specialty food and specialty food items through www.igourmet.com, online marketplaces, additional direct-to-consumer platforms, distribution to foodservice, retail stores and other wholesale accounts, pursuant to the terms of an Asset Purchase Agreement. The consideration for and in connection with the acquisition consisted of: (i) $1,500,000, which satisfied or reduced secured, priority and administrative debt of Sellers; (ii) in connection with and prior to the acquisition, our wholly-owned subsidiary, Food Funding, LLC (“Food Funding”), funded advances of $325,000 to Sellers on a secured basis, pursuant to certain loan documents and as bridge loans, which loans were reduced by the proceeds of the Asset Purchase Agreement; (iii) the purchase for $200,000 of certain debt owed by Sellers, to be paid out of, if available, Innovative Gourmet’s cash flow; (iv) potential contingent liability allocation for a percentage of Sellers’ approximately $2,300,000 of certain debt, not purchased or assumed by Innovative Gourmet, which under certain circumstances, Innovative Gourmet may determine to pay; and (v) additional purchase price consideration of (a) up to a maximum of $1,500,000, if EBITDA of Innovative Gourmet reaches $800,00 in 2018, (b) up to a maximum of $1,750,000, if EBITDA of Innovative Gourmet in 2019 exceeds its EBITDA in 2018 by at least 20% and if its EBITDA reaches $5,000,000; and (c) up to a maximum of $2,125,000, if EBITDA of Innovative Gourmet in 2020 exceeds its EBITDA in 2019 by at least 20% and if its EBITDA reaches $8,000,000. The EBITDA based earnout shall be paid 37.5% in cash, 25% in IVFH shares valued at the time of the closing of this transaction and 37.5%, at Innovative Gourmet’s option, in IVFH shares valued at the time of the payment of the earnout or in cash. The 2018, 2019 and 2020 earnout milestones were not met. In connection with the acquisition, our wholly-owned subsidiary, Food Funding, purchased Seller’s senior secured note at a price of approximately $1,187,000, pursuant to the terms of a Loan Sale Agreement with UPS Capital Business Credit. That note was reduced by the proceeds of the Asset Purchase Agreement. See Item (i) above.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Effective July 6, 2018, pursuant to an asset purchase agreement between Mouth Foods, Inc. (“Mouth”) and our wholly-owned subsidiary M Innovations LLC (“M Innovations”) (the “MFI APA”), the Company acquired certain assets of Mouth from MFI (assignment for the benefit of creditors), LLC, in connection with a Delaware assignment proceeding. The MFI APA was accounted for as an acquisition of an ongoing business where the Company was treated as the acquirer and the acquired assets and assumed liabilities were recorded by the Company at their preliminary estimated fair values. Mouth, a privately held New York company operating out of Brooklyn, was an expert curator and online retailer of high quality specialty foods from small-batch makers in the US. The consideration for and in connection with the acquisition consisted of (i) closing related cash payments of $208,355; (ii) additional revenue-based contingent liabilities valued by management at $100,000 related to certain future sales of purchased assets payable under the following terms: payment of 5% of certain revenues, with no payments on the first $500,000 of revenues and no payments on revenues after June 30, 2020; (iii) additional revenue based contingent liabilities of up to $185,000 associated with the purchase of certain debt of the seller; and (iv) additional contingent liability consideration valued by management at approximately $20,000.</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July 23, 2019, P Innovations acquired certain assets of GBC Sub, Inc. (d/b/a The GiftBox) (“GiftBox”) (the “GiftBox Asset Purchase Agreement”). GiftBox, a privately held Nevada corporation controlled by David Polinsky, a director of the Company, was in the business of subscription-based ecommerce. The consideration for the assets purchased was a nominal amount of cash. The GiftBox Asset Purchase Agreement also provides the sellers the option to acquire 30% of P Innovations subject to dilution for a period of thirty-six months following the date of the Giftbox Asset Purchase Agreement; the option will only be exercisable if there is a spinoff of P Innovations to Innovative Food Holdings shareholders.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a Major Customer</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Transactions with a major customer and related economic dependence information is set forth immediately below and above in Note 2 to the Condensed Consolidated Financial Statements and also in our Annual Report on Form 10-K for the year ended December 31, 2021 (1) following our discussion of Liquidity and Capital Resources, and (2) in Note 18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with U.S. Foods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historically sold the majority of our products through a distributor relationship between FII and Next Day Gourmet, L.P., a subsidiary of U.S. Foods, a leading broadline distributor. These sales amounted to $7,659,459 (49% of total sales) and $5,165,378 (42% of total sales) for the three months ended March 31, 2022 and 2021, respectively. On January 26, 2015 we executed a contract between Food Innovations, Inc., our wholly-owned subsidiary, and U.S. Foods, Inc. The term of the Agreement is from January 1, 2015 through December 31, 2016 and provides for a limited number of automatic annual renewals thereafter if no party gives the other 30 days’ notice of its intent not to renew. Based on the terms, the Agreement was extended through 2018. Effective January 1, 2018 the Agreement was further amended to remove the cap on renewals, and provide for an unlimited number of additional 12-month terms unless either party notifies the other in writing, 30 days prior to the end date, of its intent not to renew.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discussion may contain forward looking-statements that involve risks and uncertainties. Our future results could differ materially from the forward looking-statements discussed in this report. This discussion should be read in conjunction with our consolidated financial statements, the notes thereto and other financial information included elsewhere in the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2022 Compared to Three Months Ended March 31, 2021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Revenue increased by $3,462,212 or approximately 28% to $15,643,111 for the three months ended March 31, 2022 from $12,180,899 prior year. The increase in revenues is primarily attributable to an increase in specialty foodservice revenues which was driven by the nationwide opening of restaurants and other foodservice establishments previously affected by COVID-19 as well as increases in travel related foodservice , and restaurant dining. The increase in specialty foodservice revenue was partially offset with decreases in e-commerce revenues, though e-commerce revenue remains significantly above pre-pandemic historical levels. The decreases in e-commerce revenues during the current period were related to decreases in COVID-19 driven demand in 2022 compared to 2021 partially driven by the continued re-opening of bricks and mortar stores, and also driven by lower recognized revenue in the first quarter of 2022, due to a decline in the value of recognized deferred revenue related revenues associated with items ordered in the 4th quarter of the prior year but delivered in the first quarter of the following year.</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continue to assess the potential of new revenue sources from the manufacture and sale of proprietary food products, private label products and additional sales channel opportunities in both the foodservice and consumer space and will implement a strategy which based on our analysis provides the most beneficial opportunity for growth.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Any changes in the food distribution and specialty foods operating landscape that materially hinders our current ability and/or cost to deliver our products to our customers could potentially cause a material impact on our net revenue and gross margin and, therefore, our profitability and cash flows could be adversely affected.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Currently, a small portion of our revenues comes from imported products or international sales. Our current sales from such markets may be hampered and negatively impacted by any economic tariffs that may be imposed in the United States or in foreign countries.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“Transactions with Major Customers” and the Securities and Exchange Commission’s (“SEC”) mandated FR-60 disclosures following the “Liquidity and Capital Resources” section for a further discussion of the significant customer concentrations, loss of significant customer, critical accounting policies and estimates, and other factors that could affect future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goods sold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cost of goods sold for the three months ended March 31, 2022 was $11,917,179, an increase of $3,038,265 or approximately 34% compared to cost of goods sold of $8,878,914 for the three months ended March 31, 2021. The increase in cost of goods sold is attributed mainly to increases in revenues. Cost of goods sold was made up of the following expenses for the three months ended March 31, 2022: cost of goods of specialty, meat, game, cheese, seafood, poultry and other sales categories in the amount of $7,761,702; shipping, delivery, handling, and purchase allowance expenses in the amount of $4,016,598; and cost of goods associated with logistics of $138,879. Total gross margin was approximately 23.8% of sales in 2021 compared to approximately 27.1% of sales in 2021. Gross margins as a percentage of sales declined during the current period to 23.8% compared to 27.1% during the comparable period, primarily due to variation in product and revenue mix across our various selling channels. In addition, increases in fuel costs and fuel surcharges associated with the higher cost of fuel in the United States contributed to the decline in gross margins as a percentage of sales.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2022, we continue to price our products in order to increase sales, gain market share and increase the number of our end users and customers. We currently expect, if market conditions, overall economic conditions, and our product revenue mix remain constant, that our cost of goods sold may increase and may result in a decrease in profit margin.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Selling, general, and administrative expenses</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increased by $321,598 or approximately 7% to $5,172,426 during the three months ended March 31, 2022 compared to $4,850,828 for the three months ended March 31, 2021. The increase in selling, general, and administrative expenses was primarily due to an increase in advertising and marketing costs of $250,282, an increase in professional fees of $150,679, an increase in office, facilities, and vehicles costs $90,153, an increase in office, facilities, and vehicle costs of $90,153, an increase in travel expenses of $34,826, an increase in IT and computer costs of $30,281, an increase in insurance costs of $10,441, and an increase in amortization and depreciation of $2,507. These increases were partially offset by a decrease in payroll and related costs of approximately $214,143 (including a decrease in non-cash compensation in the amount of $5,065), a decrease in banking and credit card fees of $91,798, a decrease in bad debt expense of $3,872, and a decrease in taxes of $3,494. The increases were driven mainly by increases in costs related to legal, accounting, and other advisor fees and increases in digital marketing fees. In addition an overall increase in cost of goods and labor and other items contributed to the increase in facility and IT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Impairment of Investment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2021, the founder of one of the food related companies passed away in an untimely tragic accident, and as a result the food related company ceased operations and the Company recognized an impairment in the amount of $209,850 in connection with that investment. There is no comparable transaction in the current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Gain on Interest Rate Swap</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recognized a gain on the interest rate swap in the amount of $294,000 in connection with the termination of the interest rate swap. There is no comparable transaction in the prior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leasing income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recognized revenue in the amount of $5,090 in connection with the lease of space in our Mountaintop warehouse facility, a decrease of $50 or approximately 1% compared to $5,140 during the three months ended March 31,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2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Interest expense, net of interest income, decreased by $7,345 or approximately 8% to $82,973 during the three months ended March 31, 2022, compared to $90,318 during the three months ended March 31, 2021. Interest accrued or paid on the Company’s commercial loans and notes payable decreased by $1,032 to $76,148 during the current period primarily as a result of decreased principal balances. In addition, interest associated with the interest rate swap was $5,632 during the three months ended March 31, 2022 compared to $6,094 in the prior period, a decrease of $462. The interest rate swap was terminated during the current period. Interest on the PPP loans decreased by $5,571, from $0 during the current period compared to $5,571 during the three months ended March 31, 3021. The Company’s PPP loans have all been forgiven as of March 31, 2022. Interest income was $1,989 for the period ended March 31, 2022, an increase of $280 compared to interest income of $1,709 during the prior period due to higher cash balances. Interest on the Company’s note payable was $94 for the three months ended March 31, 2022 and 2021. We also amortized $3,088 of loan fees to interest expense during the period ended March 31, 2022 and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loss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reasons above, the Company had a net loss for the three months ended March 31, 2022 of $1,230,377 which is a decrease of $613,494 or 33% compared to a net loss of $1,843,871 during the three months ended March 31, 2021. The net loss for the three months ended March 31, 2022 includes a total of $298,060 in non-cash charges, including non-cash compensation in the amount of $152,726, depreciation and amortization expense of $138,361, and amortization of prepaid loan fees in the amount of $3,088.</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loss for the three months ended March 31, 2021 includes a total of $509,304 in non-cash charges, including impairment of investment of $209,850, depreciation and amortization expense of $135,854, non-cash compensation in the amount of $157,791, amortization of the discount on notes payable of $3,088, and provision for doubtful accounts of $2,721.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at March 31, 2022</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As of March 31, 2022 the Company had current assets of $10,132,629 consisting of cash and cash equivalents of $3,111,168, trade accounts receivable of $3,422,003, inventory of $3,209,945, and other current assets of $389,513. Also, at March 31, 2022, the Company had current liabilities of $8,612,694, consisting of trade payable and accrued liabilities of $4,473,440, accrued interest of $42,794, deferred revenue of $1,250,944, line of credit of $2,000,000, lease liabilities – operating leases, current portion of $63,361, lease liabilities – financing leases, current portion of $182,664, current portion of contingent liabilities of $187,000, and current portion of notes payable of $412,491.</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the Company had cash used in operating activities of $2,873,290. Cash used in operations consisted of the Company’s consolidated net loss of $1,230,377 increased by recovery of doubtful accounts of ($1,115); these items were reduced by stock based compensation in the amount of $152,726, depreciation and amortization of $138,361, amortization of right-to-use asset of $19,691, and amortization of prepaid loan fees of $3,088. The Company’s cash position also decreased due to a change in the components of current assets and liabilities in the amount of $1,955,664.</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cash used in investing activities of $4,760 for the three months ended March 31, 2022, which consisted of cash paid for the acquisition of property and equipment.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cash flow from financing activities of $133,453 for the three months ended March 31, 2022, which consisted of principal payments made on notes payable of $92,816 and principal payments on financing leases of $40,637.</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had net working capital of $1,519,935 as of March 31, 2022. The Company used cash in operations during the three months ended March 31, 2022 in the amount of $2,873,290. This compares to cash used in operations of $3,497,010 during the three months ended March 31, 2021. The Company intends to continue to focus on increasing market share and cash flow from operations by focusing its sales activities on specific market segments and new product lines. As of March 31, 2022, we do not have any material long-term obligations other than those described in Notes 6, 7, 12, 13, and 14 to the financial statements included in this report. As we seek to increase our sales of new items and enter new markets, acquire new businesses as well as identify new and other consumer and food service oriented products and services, we may use existing cash reserves, long-term financing, or other means to finance such diversification.</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the Company’s cash flow from operations is insufficient to fully implement its business plan, the Company may require additional financing in order to execute its operating plan. The Company cannot predict whether this additional financing will be in the form of equity or debt, or be in another form. The Company may not be able to obtain the necessary additional capital on a timely basis, on acceptable terms, or at all.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any of these events, the Company may be unable to implement its current plans for expansion, repay its debt obligations as they become due or respond to competitive pressures, any of which circumstances would have a material adverse effect on its business, prospects,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Plans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2020 the world has been in the grip of a pandemic which has wreaked havoc on economies world-wide, including in the U.S., which is our primary market. As a result of the pandemic, restaurants, hotels, country clubs, casinos, catering houses and other of our primary customers have either been closed completely or are only partially open with significantly reduced operations. Accordingly, foodservice revenues, which historically have been a significant overall portion of our revenues have been significantly reduced as most foodservice establishments cross the United States closed or had limited operations. As a result, foodservice revenue commencing in the second half of March 2020 and continuing throughout the year and into 2021, experienced unprecedented declines. In 2022, as the pandemic has begun to decline in the United States and foodservice establishments have begun to reopen and travel has resumed, we have experienced strong foodservice revenue growth. Concurrently, while ecommerce revenues remained above pre-pandemic historical levels, lower deferred revenues recognized in the first quarter of 2022 and decreases in COVID-19 driven demand in 2022 compared to 2021 partially driven by the continued re-opening of bricks and mortar stores, impacted e-commerce revenues.</w:t>
      </w:r>
    </w:p>
    <w:p>
      <w:pPr>
        <w:spacing w:after="0" w:line="18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During 2022, we plan to expand our business by expanding our focus to additional specialty foods markets and by leveraging our e-commerce platform to launch and grow, either organically and/or through acquisition, new D2C brands and e-commerce sites within targeted consumer areas, on the Company’s e-commerce platform. In addition, we will continue exploring potential acquisition and partnership opportunities with influencers and other celebrities to continue to extend our focus in the specialty food market through the growth of the Company’s existing sales channels and through a variety of additional potential sales channel relationships. In addition, we are currently exploring the introduction of, or have introduced into the market, a variety of new product categories and new product lines, including private label products and proprietary branded products to leverage our existing foodservice and consumer customer base.</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Furthermore, the Company intends to continue to expand its activities in the direct-to-consumer space and the overall consumer packaged goods (CPG) space through leveraging its overall capabilities in the consumer space, including leveraging its direct to consumer e-commerce platform to reach both additional customers in multiple channels, and to expand availability of its e-commerce capabilities to additional products and markets.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assurances can be given that any of these plans will come to fruition or that if implemented that they will necessarily yield positive results.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opinion of management, during the three months ended March 31, 2022, inflation has not had a material effect on the Company’s financial condition or results of its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Company’s business and success is subject to numerous risk factors as detailed in its Annual Report on Form 10-K for the year ended December 31, 2021 and other of its Current Reports on Form 8-K, all of which reports are available at no cost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Disclosure controls and procedures are controls and other procedures that are designed to ensure that information required to be disclosed by us in the reports that we file or submit pursuant to the requirements of the Securities Exchange Act of 1934 is recorded, processed, summarized and reported, within the time periods specified in the SEC’s rules and forms. Disclosure controls and procedures include, among other things, controls and procedures designed to ensure that information required to be disclosed by us in the reports that we file under the Exchange Act is accumulated and communicated to our management, including our principal executive and financial officers, as appropriate, to allow timely decisions regarding required disclosure.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Evaluation of disclosure controls and procedures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Principal Executive Officer and Principal Financial Officer, after evaluating the effectiveness of our disclosure controls and procedures (as defined as defined in Rule 13a-15(f) and 15d-(f) under the Exchange Act.) as of the end of the period covered by this Quarterly Report, have identified a control deficiency regarding the integration of two acquisitions in 2018 and as a result management has concluded our internal control over financial reporting was ineffective at March 31, 2022 at the reasonable assurance level. Management of the Company believes that this deficiency is primarily due to the smaller size of the company’s accounting staff in relation to certain continued system integrations related to the 2018 acquisitions of certain assets of igourmet LLC and Mouth Foods, Inc. To address this matter, we have expanded our accounting staff and we expect to retain additional qualified personnel to continue to remediate this control deficiency in the future. In making this assessment, our management used the criteria set forth by the Committee of Sponsoring Organizations of the Treadway Commission (“COSO”) in Internal Control-Integrated Framework (2013).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Changes in internal control over financial reporting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Exchange Act Rules 13a-15(d) and 15d-15 that occurred during the period covered by this Quarterly Report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21"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On September 16, 2019, an action (the “PA Action”) was filed in the Court of Common Pleas of Philadelphia County, Trial Division, against, among others, the Company and its wholly-owned subsidiaries, Innovative Gourmet LLC and Food Innovations, Inc. Since that time, other parties involved in the incident have joined as plaintiffs in the PA Action. The complaint in the PA Action alleges, inter alia, wrongful death and negligence by a driver formerly employed by Innovative Gourmet, and plaintiffs filed a demand and offer to settle for fifty million dollars. We expect that should a settlement occur, the amount to resolve the Action would be substantially lower. The Company, its subsidiaries, and their employees had auto and umbrella insurance policies, among others, that were in effect for the relevant period. The Company and its subsidiaries’ insurers have agreed to defend the Company, its subsidiaries and the driver in the PA Action (and related actions), subject to a reservation of rights. The Company believes that the likely outcome would result in the liabilities being covered by its insurance carriers. However, if the Company was found responsible for damages in excess of its available insurance coverage, such damages in excess of the coverage could have a material adverse effect on the Company’s operations. On July 16, 2020, the court granted the Company's motion to stay the case through the final adjudication of an additional pending legal proceeding against the driver in connection with the events related to the case. It is not anticipated that the Company and its subsidiaries will be a party to any other legal proceedings in connection with this matter. Because the statute of limitations on the incident has now run, it is not anticipated that any new plaintiffs involved in the incident will come forward against the Company and its subsidiaries.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69608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2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453"/>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80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9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4"/>
                <w:szCs w:val="24"/>
                <w:color w:val="auto"/>
              </w:rPr>
            </w:pPr>
          </w:p>
        </w:tc>
        <w:tc>
          <w:tcPr>
            <w:tcW w:w="94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Articles of Incorporation (incorporated by reference to exhibit 3.1 of the Company’s annual report on Form 10-KSB for the year</w:t>
              </w:r>
            </w:hyperlink>
          </w:p>
        </w:tc>
      </w:tr>
      <w:tr>
        <w:trPr>
          <w:trHeight w:val="196"/>
        </w:trPr>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ended December 31, 2004 filed with the Securities and Exchange Commission on September 28, 2005).</w:t>
              </w:r>
            </w:hyperlink>
          </w:p>
        </w:tc>
        <w:tc>
          <w:tcPr>
            <w:tcW w:w="1920" w:type="dxa"/>
            <w:vAlign w:val="bottom"/>
            <w:gridSpan w:val="2"/>
          </w:tcPr>
          <w:p>
            <w:pPr>
              <w:spacing w:after="0"/>
              <w:rPr>
                <w:sz w:val="17"/>
                <w:szCs w:val="17"/>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24"/>
                <w:szCs w:val="24"/>
                <w:color w:val="auto"/>
              </w:rPr>
            </w:pPr>
          </w:p>
        </w:tc>
        <w:tc>
          <w:tcPr>
            <w:tcW w:w="940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Amended Bylaws of the Company (incorporated by reference to exhibit 3.2 of the Company’s annual report Form 10-K for the</w:t>
              </w:r>
            </w:hyperlink>
          </w:p>
        </w:tc>
      </w:tr>
      <w:tr>
        <w:trPr>
          <w:trHeight w:val="196"/>
        </w:trPr>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0" w:type="dxa"/>
            <w:vAlign w:val="bottom"/>
            <w:gridSpan w:val="4"/>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year ended December 31, 2010 filed with the Securities and Exchange Commission on March 16, 2011).</w:t>
              </w:r>
            </w:hyperlink>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4"/>
                <w:szCs w:val="24"/>
                <w:color w:val="auto"/>
              </w:rPr>
            </w:pPr>
          </w:p>
        </w:tc>
        <w:tc>
          <w:tcPr>
            <w:tcW w:w="752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Section 302 Certification</w:t>
            </w:r>
          </w:p>
        </w:tc>
        <w:tc>
          <w:tcPr>
            <w:tcW w:w="188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Section 302 Certification</w:t>
            </w:r>
          </w:p>
        </w:tc>
      </w:tr>
      <w:tr>
        <w:trPr>
          <w:trHeight w:val="20"/>
        </w:trPr>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Section 906 Certification</w:t>
            </w:r>
          </w:p>
        </w:tc>
      </w:tr>
      <w:tr>
        <w:trPr>
          <w:trHeight w:val="20"/>
        </w:trPr>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r>
      <w:tr>
        <w:trPr>
          <w:trHeight w:val="41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24"/>
                <w:szCs w:val="24"/>
                <w:color w:val="auto"/>
              </w:rPr>
            </w:pP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Section 906 Certification</w:t>
            </w:r>
          </w:p>
        </w:tc>
      </w:tr>
      <w:tr>
        <w:trPr>
          <w:trHeight w:val="20"/>
        </w:trPr>
        <w:tc>
          <w:tcPr>
            <w:tcW w:w="1560" w:type="dxa"/>
            <w:vAlign w:val="bottom"/>
            <w:gridSpan w:val="2"/>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7600" w:type="dxa"/>
            <w:vAlign w:val="bottom"/>
            <w:gridSpan w:val="3"/>
          </w:tcPr>
          <w:p>
            <w:pPr>
              <w:spacing w:after="0" w:line="20" w:lineRule="exact"/>
              <w:rPr>
                <w:sz w:val="1"/>
                <w:szCs w:val="1"/>
                <w:color w:val="auto"/>
              </w:rPr>
            </w:pPr>
          </w:p>
        </w:tc>
      </w:tr>
      <w:tr>
        <w:trPr>
          <w:trHeight w:val="453"/>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43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43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43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432"/>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spacing w:after="0" w:line="198" w:lineRule="exact"/>
        <w:rPr>
          <w:sz w:val="20"/>
          <w:szCs w:val="20"/>
          <w:color w:val="auto"/>
        </w:rPr>
      </w:pPr>
    </w:p>
    <w:p>
      <w:pPr>
        <w:ind w:left="5400" w:right="2880" w:hanging="5397"/>
        <w:spacing w:after="0" w:line="532" w:lineRule="auto"/>
        <w:tabs>
          <w:tab w:leader="none" w:pos="156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69608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6960870" cy="17145"/>
                    </a:xfrm>
                    <a:prstGeom prst="rect">
                      <a:avLst/>
                    </a:prstGeom>
                    <a:noFill/>
                  </pic:spPr>
                </pic:pic>
              </a:graphicData>
            </a:graphic>
          </wp:anchor>
        </w:drawing>
      </w:r>
    </w:p>
    <w:p>
      <w:pPr>
        <w:sectPr>
          <w:pgSz w:w="11900" w:h="16838" w:orient="portrait"/>
          <w:cols w:equalWidth="0" w:num="1">
            <w:col w:w="10960"/>
          </w:cols>
          <w:pgMar w:left="460" w:top="108" w:right="4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76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760" w:type="dxa"/>
            <w:vAlign w:val="bottom"/>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425"/>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Sam Klepfish</w:t>
            </w:r>
          </w:p>
        </w:tc>
        <w:tc>
          <w:tcPr>
            <w:tcW w:w="7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7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May 16, 2022</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Sam Klepfish</w:t>
            </w:r>
          </w:p>
        </w:tc>
        <w:tc>
          <w:tcPr>
            <w:tcW w:w="7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414"/>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Tang</w:t>
            </w:r>
          </w:p>
        </w:tc>
        <w:tc>
          <w:tcPr>
            <w:tcW w:w="7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760" w:type="dxa"/>
            <w:vAlign w:val="bottom"/>
          </w:tcPr>
          <w:p>
            <w:pPr>
              <w:spacing w:after="0"/>
              <w:rPr>
                <w:sz w:val="24"/>
                <w:szCs w:val="24"/>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May 16, 2022</w:t>
            </w:r>
          </w:p>
        </w:tc>
      </w:tr>
      <w:tr>
        <w:trPr>
          <w:trHeight w:val="228"/>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Richard Tang</w:t>
            </w:r>
          </w:p>
        </w:tc>
        <w:tc>
          <w:tcPr>
            <w:tcW w:w="76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1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460" w:top="121"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 Klepfish, certify that:</w:t>
      </w:r>
    </w:p>
    <w:p>
      <w:pPr>
        <w:spacing w:after="0" w:line="225"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Innovative Food Holdings,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2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1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Sam Klepfish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7329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7329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 Klepfish, Chief Executive Officer</w:t>
      </w:r>
    </w:p>
    <w:p>
      <w:pPr>
        <w:sectPr>
          <w:pgSz w:w="11900" w:h="16838" w:orient="portrait"/>
          <w:cols w:equalWidth="0" w:num="1">
            <w:col w:w="11240"/>
          </w:cols>
          <w:pgMar w:left="320" w:top="33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Tang, certify that:</w:t>
      </w:r>
    </w:p>
    <w:p>
      <w:pPr>
        <w:spacing w:after="0" w:line="225"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Innovative Food Holdings,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8"/>
        <w:spacing w:after="0" w:line="282" w:lineRule="auto"/>
        <w:tabs>
          <w:tab w:leader="none" w:pos="2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0389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03898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Tang, Chief Financial Officer</w:t>
      </w:r>
    </w:p>
    <w:p>
      <w:pPr>
        <w:sectPr>
          <w:pgSz w:w="11900" w:h="16838" w:orient="portrait"/>
          <w:cols w:equalWidth="0" w:num="1">
            <w:col w:w="11240"/>
          </w:cols>
          <w:pgMar w:left="320" w:top="33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Innovative Food Holdings, Inc. and Subsidiaries (the “Company”) on Form 10-Q for the period ended March 31, 2022 as filed with the Securities and Exchange Commission on the date hereof (the “Report”), I, Sam Klepfish, Chief Executive Officer of the Company, certify, pursuant to 18 U.S.C. Section 1350, as adopted pursuant to Section 906 of the Sarbanes-Oxley Act of 2002, that to the best of my knowledge:</w:t>
      </w:r>
    </w:p>
    <w:p>
      <w:pPr>
        <w:spacing w:after="0" w:line="180"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Sam Klepfish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8472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8472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 Klepfish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16, 2022</w:t>
      </w:r>
    </w:p>
    <w:p>
      <w:pPr>
        <w:sectPr>
          <w:pgSz w:w="11900" w:h="16838" w:orient="portrait"/>
          <w:cols w:equalWidth="0" w:num="1">
            <w:col w:w="11240"/>
          </w:cols>
          <w:pgMar w:left="320" w:top="33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 OXLEY ACT OF 2002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Innovative Food Holdings, Inc. and Subsidiaries (the “Company”) on Form 10-Q for the period ended March 31, 2022 as filed with the Securities and Exchange Commission on the date hereof (the “Report”), I, Richard Tang, Chief Financial Officer of the Company, certify, pursuant to 18 U.S.C. Section 1350, as adopted pursuant to Section 906 of the Sarbanes-Oxley Act of 2002, that to the best of my knowledge:</w:t>
      </w:r>
    </w:p>
    <w:p>
      <w:pPr>
        <w:spacing w:after="0" w:line="158"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4960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14960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Tang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16, 2022</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
      <w:numFmt w:val="bullet"/>
      <w:start w:val="1"/>
    </w:lvl>
  </w:abstractNum>
  <w:abstractNum w:abstractNumId="1">
    <w:nsid w:val="7545E146"/>
    <w:multiLevelType w:val="hybridMultilevel"/>
    <w:lvl w:ilvl="0">
      <w:lvlJc w:val="left"/>
      <w:lvlText w:val="%1."/>
      <w:numFmt w:val="decimal"/>
      <w:start w:val="15"/>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04"/>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decimal"/>
      <w:start w:val="5"/>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45" Type="http://schemas.openxmlformats.org/officeDocument/2006/relationships/hyperlink" Target="http://www.sec.gov/Archives/edgar/data/312257/000114420405030172/v025859_ex3-1.htm" TargetMode="External"/><Relationship Id="rId46" Type="http://schemas.openxmlformats.org/officeDocument/2006/relationships/hyperlink" Target="http://www.sec.gov/Archives/edgar/data/312257/000118518511000325/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2022-05-16T16:38:35Z</dcterms:created>
  <dcterms:modified xsi:type="dcterms:W3CDTF">2022-05-16T16:38:35Z</dcterms:modified>
</cp:coreProperties>
</file>