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3880" w:right="1940" w:hanging="1884"/>
        <w:spacing w:after="0" w:line="282" w:lineRule="auto"/>
        <w:tabs>
          <w:tab w:leader="none" w:pos="224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and Exchange Act of 1934 For the quarterly period ended </w:t>
      </w:r>
      <w:r>
        <w:rPr>
          <w:rFonts w:ascii="Arial" w:cs="Arial" w:eastAsia="Arial" w:hAnsi="Arial"/>
          <w:sz w:val="18"/>
          <w:szCs w:val="18"/>
          <w:b w:val="1"/>
          <w:bCs w:val="1"/>
          <w:u w:val="single" w:color="auto"/>
          <w:color w:val="auto"/>
        </w:rPr>
        <w:t>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1277620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2" w:lineRule="exact"/>
        <w:rPr>
          <w:sz w:val="24"/>
          <w:szCs w:val="24"/>
          <w:color w:val="auto"/>
        </w:rPr>
      </w:pPr>
    </w:p>
    <w:p>
      <w:pPr>
        <w:ind w:left="3480" w:right="2820" w:hanging="653"/>
        <w:spacing w:after="0" w:line="312" w:lineRule="auto"/>
        <w:tabs>
          <w:tab w:leader="none" w:pos="3069"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Exchange Act For the transition period from _________ to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-295910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0-9376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478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w w:val="93"/>
              </w:rPr>
              <w:t>Florida</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700" w:type="dxa"/>
            <w:vAlign w:val="bottom"/>
            <w:gridSpan w:val="5"/>
          </w:tcPr>
          <w:p>
            <w:pPr>
              <w:jc w:val="center"/>
              <w:ind w:right="23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254635</wp:posOffset>
            </wp:positionV>
            <wp:extent cx="282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765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12(b) of the Act: None.</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7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1871345</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wp:posOffset>
            </wp:positionH>
            <wp:positionV relativeFrom="paragraph">
              <wp:posOffset>-133350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-133350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(Check One):</w:t>
            </w:r>
          </w:p>
        </w:tc>
        <w:tc>
          <w:tcPr>
            <w:tcW w:w="3500" w:type="dxa"/>
            <w:vAlign w:val="bottom"/>
          </w:tcPr>
          <w:p>
            <w:pPr>
              <w:spacing w:after="0"/>
              <w:rPr>
                <w:sz w:val="18"/>
                <w:szCs w:val="18"/>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0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080" w:type="dxa"/>
            <w:vAlign w:val="bottom"/>
            <w:gridSpan w:val="2"/>
          </w:tcPr>
          <w:p>
            <w:pPr>
              <w:ind w:left="186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283"/>
        </w:trPr>
        <w:tc>
          <w:tcPr>
            <w:tcW w:w="404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-86360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-86360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37,556,746 shares of common stock issued and 34,719,166 shares of common stock outstanding as of August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ind w:left="404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20" w:type="dxa"/>
            <w:vAlign w:val="bottom"/>
            <w:vMerge w:val="continue"/>
          </w:tcPr>
          <w:p>
            <w:pPr>
              <w:spacing w:after="0"/>
              <w:rPr>
                <w:sz w:val="18"/>
                <w:szCs w:val="18"/>
                <w:color w:val="auto"/>
              </w:rPr>
            </w:pPr>
          </w:p>
        </w:tc>
        <w:tc>
          <w:tcPr>
            <w:tcW w:w="9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Stockholders’ Equity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w w:val="98"/>
              </w:rPr>
            </w:pPr>
            <w:hyperlink w:anchor="page25">
              <w:r>
                <w:rPr>
                  <w:rFonts w:ascii="Arial" w:cs="Arial" w:eastAsia="Arial" w:hAnsi="Arial"/>
                  <w:sz w:val="18"/>
                  <w:szCs w:val="18"/>
                  <w:u w:val="single" w:color="auto"/>
                  <w:color w:val="0000EE"/>
                  <w:w w:val="98"/>
                </w:rPr>
                <w:t>Management’s Discussion and Analysis of Financial Condition and Results of Operations (including cautionary statement)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06"/>
        </w:trPr>
        <w:tc>
          <w:tcPr>
            <w:tcW w:w="9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 CONDENSED CONSOLIDATED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ind w:left="4440"/>
              <w:spacing w:after="0"/>
              <w:rPr>
                <w:sz w:val="20"/>
                <w:szCs w:val="20"/>
                <w:color w:val="auto"/>
              </w:rPr>
            </w:pPr>
            <w:r>
              <w:rPr>
                <w:rFonts w:ascii="Arial" w:cs="Arial" w:eastAsia="Arial" w:hAnsi="Arial"/>
                <w:sz w:val="18"/>
                <w:szCs w:val="18"/>
                <w:b w:val="1"/>
                <w:bCs w:val="1"/>
                <w:color w:val="auto"/>
              </w:rPr>
              <w:t>Innovative Food Holdings,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4080"/>
              <w:spacing w:after="0"/>
              <w:rPr>
                <w:sz w:val="20"/>
                <w:szCs w:val="20"/>
                <w:color w:val="auto"/>
              </w:rPr>
            </w:pPr>
            <w:r>
              <w:rPr>
                <w:rFonts w:ascii="Arial" w:cs="Arial" w:eastAsia="Arial" w:hAnsi="Arial"/>
                <w:sz w:val="18"/>
                <w:szCs w:val="18"/>
                <w:b w:val="1"/>
                <w:bCs w:val="1"/>
                <w:color w:val="auto"/>
              </w:rPr>
              <w:t>Condensed Consolidated Balance Sheets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5,258,069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3,966,050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1,870,850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3,309,830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2,830,047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2,350,622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10,301,805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7,377,629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6,645,389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465,225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435,225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to use assets, operating leases,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301,392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Right to use assets, finance leases,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304,647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174,631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amortizable intangible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1,342,741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Goodwill and other unamortizable intangible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20,381,520</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3,822,730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4,009,956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499,776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Line of Credit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current portion,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1,052,465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727,766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 liability - operating leases, current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99,972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133,296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 - finance leases, current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Contingent liability - current portion</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7,483,913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5,604,599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 - operating leases, non-current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 liability - finance leases, non-current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266,946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154,905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liability - long-term</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 payable - long term portion,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5,966,879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14,051,758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9,857,578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&amp; Contingencies (see note 17)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$0.0001 par value; 500,000,000 shares authorized; 37,556,746 and 37,210,859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w w:val="93"/>
              </w:rPr>
              <w:t>issued, and 34,719,166 and 34,373,279 shares outstanding at June 30, 2020 and December 31, 2019,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37,110,893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36,889,818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2,623,171 shares outstanding at June 30, 2020 and December 31, 2019</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(1,141,370)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(1,141,370)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(29,643,513)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(24,734,769)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6,329,762</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11,017,397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20,381,520</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For the Three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the Three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the Six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Six</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6"/>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11,997,649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13,925,451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25,303,569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26,784,666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8,677,096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9,862,369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18,869,960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18,743,749</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4,063,082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6,433,609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8,040,917</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4,017,829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9,508,191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7,806,826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4,895,430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4,017,829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11,207,143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7,806,826</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45,253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(4,773,534)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234,091</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leasing income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(23,149)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(48,627)</w:t>
            </w:r>
          </w:p>
        </w:tc>
      </w:tr>
      <w:tr>
        <w:trPr>
          <w:trHeight w:val="20"/>
        </w:trPr>
        <w:tc>
          <w:tcPr>
            <w:tcW w:w="4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280"/>
              <w:spacing w:after="0"/>
              <w:rPr>
                <w:sz w:val="20"/>
                <w:szCs w:val="20"/>
                <w:color w:val="auto"/>
              </w:rPr>
            </w:pPr>
            <w:r>
              <w:rPr>
                <w:rFonts w:ascii="Arial" w:cs="Arial" w:eastAsia="Arial" w:hAnsi="Arial"/>
                <w:sz w:val="18"/>
                <w:szCs w:val="18"/>
                <w:color w:val="auto"/>
              </w:rPr>
              <w:t>Total other (expense)</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(79,669)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(23,149)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(135,210)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(48,627)</w:t>
            </w:r>
          </w:p>
        </w:tc>
      </w:tr>
      <w:tr>
        <w:trPr>
          <w:trHeight w:val="216"/>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 income before taxes</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(1,654,546)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22,104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(4,908,744)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185,464</w:t>
            </w:r>
          </w:p>
        </w:tc>
      </w:tr>
      <w:tr>
        <w:trPr>
          <w:trHeight w:val="216"/>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(1,654,546)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22,104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(4,908,744)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185,464</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 income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 income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34,656,149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33,947,817</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34,641,212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34,001,294</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34,656,149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33,947,817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34,641,212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34,001,294</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11"/>
          </w:tcPr>
          <w:p>
            <w:pPr>
              <w:ind w:left="2960"/>
              <w:spacing w:after="0"/>
              <w:rPr>
                <w:sz w:val="20"/>
                <w:szCs w:val="20"/>
                <w:color w:val="auto"/>
              </w:rPr>
            </w:pPr>
            <w:r>
              <w:rPr>
                <w:rFonts w:ascii="Arial" w:cs="Arial" w:eastAsia="Arial" w:hAnsi="Arial"/>
                <w:sz w:val="18"/>
                <w:szCs w:val="18"/>
                <w:color w:val="auto"/>
              </w:rPr>
              <w:t>See notes to these unaudited condensed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Innovative Food Holdings,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Six</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Six</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(4,908,744)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185,464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631,026</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88,644</w:t>
            </w: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Amortization of prepaid loan fees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196,252</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221,799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(2,779)</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(6,665)</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Inventory and other current assets, net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(578,575)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30,921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(1,551,011)</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(271,955)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(278,387)</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(63,768)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(107,271)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(88,644)</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(858,947)</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Cash paid for website development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(23,500)</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(85,829)</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Investment in food related company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(134,329)</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line of credit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Payroll Protection Plan Loan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(97,860)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(594,877)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financing leases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(12,811)</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3,531,688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(607,688)</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(1,600,964)</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3,966,050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4,759,817</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5,258,069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3,158,853</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jc w:val="right"/>
              <w:ind w:right="3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jc w:val="right"/>
              <w:ind w:right="3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125,396</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49,337</w:t>
            </w:r>
          </w:p>
        </w:tc>
      </w:tr>
      <w:tr>
        <w:trPr>
          <w:trHeight w:val="196"/>
        </w:trPr>
        <w:tc>
          <w:tcPr>
            <w:tcW w:w="80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80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Issuance of 131,136 shares of common stock previously accrued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 to use assets and liabilities - operating, upon adoption of ASU 2016-02</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388,581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Return of equipment and reduction in amount due under equipment financing loan</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33,075</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Building improvements financed under note payable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851,934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Increase in right of use assets &amp; liabilities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214,930</w:t>
            </w:r>
          </w:p>
        </w:tc>
        <w:tc>
          <w:tcPr>
            <w:tcW w:w="12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18,701</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 food related company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Capital lease for purchase of fixed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152,548</w:t>
            </w:r>
          </w:p>
        </w:tc>
        <w:tc>
          <w:tcPr>
            <w:tcW w:w="12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014"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14"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MONTHS ENDED JUNE 30, 2019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36,427,354</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$36,325,862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2,373,171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(24,794,176)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10,518,956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1"/>
              </w:rPr>
              <w:t>Fair value of vested stock and stock options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96,108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96,108</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Net income for the three months ended June</w:t>
            </w:r>
          </w:p>
        </w:tc>
        <w:tc>
          <w:tcPr>
            <w:tcW w:w="18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22,104</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22,104</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30, 2019</w:t>
            </w: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 June 30, 2019 (unaudited)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36,427,354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36,421,970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2,373,171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(1,016,370)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(24,772,072)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10,637,168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37,279,320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$36,955,853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2,623,171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$(1,141,370)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(27,988,967)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7,829,240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1"/>
              </w:rPr>
              <w:t>Fair value of vested stock and stock options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277,426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155,040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155,068</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Net loss for the three months ended June 30,</w:t>
            </w:r>
          </w:p>
        </w:tc>
        <w:tc>
          <w:tcPr>
            <w:tcW w:w="18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(1,654,546)</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(1,654,546)</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 June 30, 2020 (unaudited)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37,556,746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3,752</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$ 37,110,893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2,623,171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(1,141,370)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(29,643,513)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6,329,762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5680" w:type="dxa"/>
            <w:vAlign w:val="bottom"/>
            <w:gridSpan w:val="14"/>
          </w:tcPr>
          <w:p>
            <w:pPr>
              <w:jc w:val="right"/>
              <w:ind w:right="980"/>
              <w:spacing w:after="0"/>
              <w:rPr>
                <w:sz w:val="20"/>
                <w:szCs w:val="20"/>
                <w:color w:val="auto"/>
              </w:rPr>
            </w:pPr>
            <w:r>
              <w:rPr>
                <w:rFonts w:ascii="Arial" w:cs="Arial" w:eastAsia="Arial" w:hAnsi="Arial"/>
                <w:sz w:val="18"/>
                <w:szCs w:val="18"/>
                <w:b w:val="1"/>
                <w:bCs w:val="1"/>
                <w:color w:val="auto"/>
                <w:w w:val="97"/>
              </w:rPr>
              <w:t>FOR THE SIX MONTHS ENDED JUNE 30, 2019 AND 2020</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21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36,296,218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$36,132,065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2,373,171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(24,957,536)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10,161,786</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0"/>
              </w:rPr>
              <w:t>Issuance of shares to employees, previously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accrued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131,136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93,653</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Fair value of vested stock and stock options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issued to management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196,252</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196,252</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4"/>
              </w:rPr>
              <w:t>Net income for the six months ended June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185,464</w:t>
            </w:r>
          </w:p>
        </w:tc>
        <w:tc>
          <w:tcPr>
            <w:tcW w:w="2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185,464</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30, 2019</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2019 (unaudited)</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36,427,354</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36,421,970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2,373,171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(24,772,072)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10,637,168</w:t>
            </w:r>
          </w:p>
        </w:tc>
        <w:tc>
          <w:tcPr>
            <w:tcW w:w="0" w:type="dxa"/>
            <w:vAlign w:val="bottom"/>
          </w:tcPr>
          <w:p>
            <w:pPr>
              <w:spacing w:after="0"/>
              <w:rPr>
                <w:sz w:val="1"/>
                <w:szCs w:val="1"/>
                <w:color w:val="auto"/>
              </w:rPr>
            </w:pPr>
          </w:p>
        </w:tc>
      </w:tr>
      <w:tr>
        <w:trPr>
          <w:trHeight w:val="197"/>
        </w:trPr>
        <w:tc>
          <w:tcPr>
            <w:tcW w:w="3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 December 31, 2019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37,210,859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$36,889,818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2,623,171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$(1,141,370)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(24,734,769)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11,017,397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1"/>
              </w:rPr>
              <w:t>Fair value of vested stock and stock options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301,684</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201,658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201,688</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0"/>
              </w:rPr>
              <w:t>Issuance of shares to employees, previously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accrued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Fair value of shares issued to employees and</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service providers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3"/>
              </w:rPr>
              <w:t>Net loss for the six months ended June 30,</w:t>
            </w:r>
          </w:p>
        </w:tc>
        <w:tc>
          <w:tcPr>
            <w:tcW w:w="18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(4,908,744)</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3"/>
              </w:rPr>
              <w:t>(4,908,744)</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 (unaudited)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37,556,746</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$ 37,110,893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2,623,171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(1,141,370)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(29,643,513)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6,329,762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of Innovative Food Holdings, Inc., and its wholly owned subsidiaries, some of which are non-operating, Artisan Specialty Foods, Inc. (“Artisan”), Food Innovations, Inc. (“FII”), Food New Media Group, Inc. (“FNM”), Organic Food Brokers, LLC (“OFB”), Gourmet Food Service Group, Inc. (“GFG”), Gourmet Foodservice Warehouse, Inc. (“GFW”), Gourmeting, Inc. (“Gourmeting”), The Haley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P Innovations, LLC (“P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2019. In the opinion of management, the interim unaudited condensed consolidated financial statements reflect all adjustments, including normal recurring adjustments, necessary for fair presentation of the interim periods presented. The results of the operations for the three and six months ended June 30, 2020 are not necessarily indicative of the results of operations to be expected for the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currently conducted by our wholly-owned subsidiaries, Artisan, FII, FNM, OFB, GFG, GFW, Gourmeting, Haley, Oasis, Gourmet, IFP, igourmet, Food Funding, L Innovations, M Innovations, (sometimes referred to herein as “Mouth” or ” Mouth.com”), and P Innovations (collectively, IVFH and its subsidiaries, the “Company” or “IVFH”).</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DTC specialty food via e-commerce through its own website at www.igourmet.com and through other channels such as www.amazon.com, www.ebay.com, and www.walmart.com. In addition, igourmet.com offers a line of B2B specialty foodservice items. Products are primarily shipped directly from igourmet’s 67,000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 Innovations provides 3rd party warehouse and fulfillment services, out of its first location at the Company’s Mountaintop, Pennsylvania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right of use assets and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operating subsidiaries, Artisan, FII, FNM, OFB, GFG, GFW, Gourmeting, Haley, Oasis, Innovative Gourmet, IFP, Food Funding, M Innovations, P Innovations, L Innovations, and Gourmet. All material intercompany transactions have been eliminated upon consolidation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June 30, 2020 and December 31, 2019, trade receivables from the Company’s largest customer amounted to 29% and 35%, respectively, of total trade receivables. During the three months ended June 30, 2020 and 2019, sales from the Company’s largest customer amounted to 27% and 62% of total sales, respectively. During the six months ended June, 2020 and 2019, sales from the Company’s largest customer amounted to 42% and 61% of total sales, respectively.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June 30, 2020, the total cash in excess of these limits was $3,601,230.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prior period data to the current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revenue from product sales, the Company recognizes revenue in accordance with Financial Accounting Standards Board “FASB” Accounting Standards Codification “ASC” 606. A five-step analysis a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 Adoption of ASC 606 had no material effect on the Company’s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are issued by the Company generally do not have expiration dates.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4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93,580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3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(375,500)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2019</w:t>
            </w:r>
          </w:p>
        </w:tc>
        <w:tc>
          <w:tcPr>
            <w:tcW w:w="39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277,395</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3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(221,531)</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2019</w:t>
            </w:r>
          </w:p>
        </w:tc>
        <w:tc>
          <w:tcPr>
            <w:tcW w:w="3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1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4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3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(341,620)</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2020</w:t>
            </w:r>
          </w:p>
        </w:tc>
        <w:tc>
          <w:tcPr>
            <w:tcW w:w="39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358,456</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received</w:t>
            </w:r>
          </w:p>
        </w:tc>
        <w:tc>
          <w:tcPr>
            <w:tcW w:w="3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sales recognized</w:t>
            </w:r>
          </w:p>
        </w:tc>
        <w:tc>
          <w:tcPr>
            <w:tcW w:w="3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(265,505)</w:t>
            </w:r>
          </w:p>
        </w:tc>
        <w:tc>
          <w:tcPr>
            <w:tcW w:w="114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3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40" w:type="dxa"/>
            <w:vAlign w:val="bottom"/>
          </w:tcPr>
          <w:p>
            <w:pPr>
              <w:jc w:val="right"/>
              <w:ind w:right="275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by from sales for the three and six months ended June 30, 2020 and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4,105,241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11,670,386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7,453,917</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1,784,328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282,500</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470,737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Logistics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155,991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11,997,649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13,925,451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14,018,033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21,967,994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10,331,943</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3,879,993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533,165</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936,679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Logistics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420,428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25,303,569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26,784,666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June 30,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6"/>
              </w:rPr>
              <w:t>Exercise</w:t>
            </w:r>
          </w:p>
        </w:tc>
        <w:tc>
          <w:tcPr>
            <w:tcW w:w="2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18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09"/>
        </w:trPr>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360,000</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0.85</w:t>
            </w:r>
          </w:p>
        </w:tc>
        <w:tc>
          <w:tcPr>
            <w:tcW w:w="2980" w:type="dxa"/>
            <w:vAlign w:val="bottom"/>
            <w:gridSpan w:val="2"/>
          </w:tcPr>
          <w:p>
            <w:pPr>
              <w:jc w:val="right"/>
              <w:ind w:right="180"/>
              <w:spacing w:after="0"/>
              <w:rPr>
                <w:sz w:val="20"/>
                <w:szCs w:val="20"/>
                <w:color w:val="auto"/>
              </w:rPr>
            </w:pPr>
            <w:r>
              <w:rPr>
                <w:rFonts w:ascii="Arial" w:cs="Arial" w:eastAsia="Arial" w:hAnsi="Arial"/>
                <w:sz w:val="18"/>
                <w:szCs w:val="18"/>
                <w:color w:val="auto"/>
              </w:rPr>
              <w:t>540,000</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r>
      <w:tr>
        <w:trPr>
          <w:trHeight w:val="216"/>
        </w:trPr>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980" w:type="dxa"/>
            <w:vAlign w:val="bottom"/>
            <w:gridSpan w:val="2"/>
          </w:tcPr>
          <w:p>
            <w:pPr>
              <w:jc w:val="right"/>
              <w:ind w:right="180"/>
              <w:spacing w:after="0"/>
              <w:rPr>
                <w:sz w:val="20"/>
                <w:szCs w:val="20"/>
                <w:color w:val="auto"/>
              </w:rPr>
            </w:pPr>
            <w:r>
              <w:rPr>
                <w:rFonts w:ascii="Arial" w:cs="Arial" w:eastAsia="Arial" w:hAnsi="Arial"/>
                <w:sz w:val="18"/>
                <w:szCs w:val="18"/>
                <w:color w:val="auto"/>
              </w:rPr>
              <w:t>1,050,000</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0"/>
        </w:trPr>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2"/>
          </w:tcPr>
          <w:p>
            <w:pPr>
              <w:jc w:val="right"/>
              <w:ind w:right="180"/>
              <w:spacing w:after="0"/>
              <w:rPr>
                <w:sz w:val="20"/>
                <w:szCs w:val="20"/>
                <w:color w:val="auto"/>
              </w:rPr>
            </w:pPr>
            <w:r>
              <w:rPr>
                <w:rFonts w:ascii="Arial" w:cs="Arial" w:eastAsia="Arial" w:hAnsi="Arial"/>
                <w:sz w:val="18"/>
                <w:szCs w:val="18"/>
                <w:color w:val="auto"/>
              </w:rPr>
              <w:t>2,150,000</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0"/>
        </w:trPr>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2020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six months ended June 30, 2020, the Company incurred obligations to issue the following shares of common stock pursuant to compensation agreements: an aggregate total of 69,928 shares of common stock to board members and an aggregate total of 231,756 to officers. Some of these shares or other shares owned by the Company’s employees are included in a 10b5-1 plan. The Company charged the amount of $155,068 and $201,688 to operations in connection with stock-based compensation during the three and six months ended June 30,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June 30, 2019:</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Exercise</w:t>
            </w:r>
          </w:p>
        </w:tc>
        <w:tc>
          <w:tcPr>
            <w:tcW w:w="3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3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Price</w:t>
            </w:r>
          </w:p>
        </w:tc>
        <w:tc>
          <w:tcPr>
            <w:tcW w:w="4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44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r>
      <w:tr>
        <w:trPr>
          <w:trHeight w:val="210"/>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0.62</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0.75</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0.85</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540,000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0.95</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900,000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r>
      <w:tr>
        <w:trPr>
          <w:trHeight w:val="216"/>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2.00</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r>
      <w:tr>
        <w:trPr>
          <w:trHeight w:val="216"/>
        </w:trPr>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302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322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r>
      <w:tr>
        <w:trPr>
          <w:trHeight w:val="20"/>
        </w:trPr>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2,675,000</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Recent Accounting Pronouncements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FASB issued ASU No. 2017-04, Simplifying the Test for Goodwill Impairment (“ASU No. 2017-04”), which simplifies the subsequent measurement of goodwill by eliminating Step 2 from the goodwill impairment test. In computing the implied fair value of goodwill under Step 2, current U.S. GAAP requires the performance of procedures to determine the fair value at the impairment testing date of assets and liabilities (including unrecognized assets and liabilities) following the procedure that would be required in determining the fair value of assets acquired and liabilities assumed in a business combination. Instead, the amendments under this ASU require the goodwill impairment test to be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This ASU became effective January 1, 2020. The adoption of ASU No. 2017-04 did not have a material impact on our results of operations, cash flows, or financial condition.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Mouth Foods,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M Innovations acquired certain assets of Mouth Foods, Inc. from MFI (assignment for the benefit of creditors), LLC (“MFI”), the assignee of Mouth Foods, Inc.’s assets in connection with a Delaware assignment proceeding, pursuant to the terms of an Asset Purchase Agreement (“MFI APA”). The MFI APA was accounted for as an acquisition of an ongoing business in accordance with ASC Topic 805 - Business Combinations (“ASC 805”), where the Company was treated as the acquirer and the acquired assets and assumed liabilities were recorded by the Company at their preliminary estimated fair values. Mouth Foods, Inc., was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date estimated fair value of the consideration transferred totaled $513,355. During the year ended December 31, 2018, the Company changed the original allocation of the purchase price among the assets acquired. The reallocated purchase price consisted of the following:</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Contingent liability – payable to debt holder</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liabilities – payable to sellers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Additional Contingent Liabilities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7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Intangible assets acquired</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419,926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36,429</w:t>
            </w:r>
          </w:p>
        </w:tc>
      </w:tr>
      <w:tr>
        <w:trPr>
          <w:trHeight w:val="210"/>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estimated fair value of the intangible assets is based on management’s estimates. Going forward, adjustments to assets acquired or liabilities assumed subsequent to the purchase price allocation period will be made in our operating results in the period in which the adjustments are determined. During the first quarter of 2020, the Company performed a goodwill impairment test based upon future growth projections which include estimates of COVID-19’s impact on our business. As a result of impairment test, the Company recorded an impairment of the intangible assets related to the Mouth Foods acquisition in the amount of $104,018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igourmet,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igourmet Asset Purchase Agreement effective January 23, 2018 (the “igourmet APA”) was accounted for as an acquisition of an ongoing business in accordance with ASC Topic 805 - Business Combinations (“ASC 805”), where the Company was treated as the acquirer and the acquired assets and certain liabilities not purchased or assumed by Innovative Gourmet, which under certain circumstances, Innovative Gourmet may determine to pay, were recorded by the Company at their preliminary estimated fair values.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consideration for and in connection with the igourmet APA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igourmet APA;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$800,000 thousand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additional purchase price consolidation milestone for 2018 and 2019 were not met. The EBITDA based earnout shall be paid 37.5% in cash, 25% in Innovative Food Holdings shares valued at the time of the closing of this transaction and 37.5%, at Innovative Gourmet’s option, in Innovative Food Holdings shares valued at the time of the payment of the earnout or in cash.</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igourmet APA, our wholly-owned subsidiary, Food Funding, purchased seller’s senior secured note at a price of approximately $1,187,000, pursuant to the terms of a Loan Sale Agreement with UPS Capital Business Credit. That note was reduced by the proceeds of the igourmet APA as disclosed in (i)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acquisition date estimated fair value of the consideration transferred totaled $4,151,243. During the year ended December 31, 2018, the Company made the following purchase price adjustments: (i) accrued an additional $286,239 for accounts payable prior to acquisition; (ii) decreased contingent liabilities by the amount of $392,900 for earnout payments not made; (iii) decreased accounts receivable in the amount of $108,893 for amounts not collected; and (4) increased deferred revenue in the amount of $231,169 for shipments made. These adjustments increased the value of the acquisition to $4,275,751. At December 31, 2018, the value of the acquisition consisted of the following:</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Initial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Cash payable in connection with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Contingent liabilities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798" w:hanging="798"/>
        <w:spacing w:after="0"/>
        <w:tabs>
          <w:tab w:leader="none" w:pos="798" w:val="left"/>
        </w:tabs>
        <w:numPr>
          <w:ilvl w:val="0"/>
          <w:numId w:val="3"/>
        </w:numPr>
        <w:rPr>
          <w:rFonts w:ascii="Arial" w:cs="Arial" w:eastAsia="Arial" w:hAnsi="Arial"/>
          <w:sz w:val="16"/>
          <w:szCs w:val="16"/>
          <w:color w:val="auto"/>
        </w:rPr>
      </w:pPr>
      <w:r>
        <w:rPr>
          <w:rFonts w:ascii="Arial" w:cs="Arial" w:eastAsia="Arial" w:hAnsi="Arial"/>
          <w:sz w:val="16"/>
          <w:szCs w:val="16"/>
          <w:color w:val="auto"/>
        </w:rPr>
        <w:t>1,500,000</w:t>
      </w:r>
    </w:p>
    <w:p>
      <w:pPr>
        <w:spacing w:after="0" w:line="46" w:lineRule="exact"/>
        <w:rPr>
          <w:rFonts w:ascii="Arial" w:cs="Arial" w:eastAsia="Arial" w:hAnsi="Arial"/>
          <w:sz w:val="16"/>
          <w:szCs w:val="16"/>
          <w:color w:val="auto"/>
        </w:rPr>
      </w:pPr>
    </w:p>
    <w:p>
      <w:pPr>
        <w:ind w:left="798"/>
        <w:spacing w:after="0"/>
        <w:rPr>
          <w:rFonts w:ascii="Arial" w:cs="Arial" w:eastAsia="Arial" w:hAnsi="Arial"/>
          <w:sz w:val="16"/>
          <w:szCs w:val="16"/>
          <w:color w:val="auto"/>
        </w:rPr>
      </w:pPr>
      <w:r>
        <w:rPr>
          <w:rFonts w:ascii="Arial" w:cs="Arial" w:eastAsia="Arial" w:hAnsi="Arial"/>
          <w:sz w:val="16"/>
          <w:szCs w:val="16"/>
          <w:color w:val="auto"/>
        </w:rPr>
        <w:t>1,863,443</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286,239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231,169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394,900</w:t>
      </w:r>
    </w:p>
    <w:p>
      <w:pPr>
        <w:spacing w:after="0" w:line="32" w:lineRule="exact"/>
        <w:rPr>
          <w:sz w:val="20"/>
          <w:szCs w:val="20"/>
          <w:color w:val="auto"/>
        </w:rPr>
      </w:pPr>
    </w:p>
    <w:p>
      <w:pPr>
        <w:ind w:left="798" w:hanging="798"/>
        <w:spacing w:after="0"/>
        <w:tabs>
          <w:tab w:leader="none" w:pos="798" w:val="left"/>
        </w:tabs>
        <w:numPr>
          <w:ilvl w:val="0"/>
          <w:numId w:val="4"/>
        </w:numPr>
        <w:rPr>
          <w:rFonts w:ascii="Arial" w:cs="Arial" w:eastAsia="Arial" w:hAnsi="Arial"/>
          <w:sz w:val="16"/>
          <w:szCs w:val="16"/>
          <w:color w:val="auto"/>
        </w:rPr>
      </w:pPr>
      <w:r>
        <w:rPr>
          <w:rFonts w:ascii="Arial" w:cs="Arial" w:eastAsia="Arial" w:hAnsi="Arial"/>
          <w:sz w:val="16"/>
          <w:szCs w:val="16"/>
          <w:color w:val="auto"/>
        </w:rPr>
        <w:t>4,275,751</w:t>
      </w:r>
    </w:p>
    <w:p>
      <w:pPr>
        <w:spacing w:after="0" w:line="46" w:lineRule="exact"/>
        <w:rPr>
          <w:sz w:val="20"/>
          <w:szCs w:val="20"/>
          <w:color w:val="auto"/>
        </w:rPr>
      </w:pPr>
    </w:p>
    <w:p>
      <w:pPr>
        <w:sectPr>
          <w:pgSz w:w="11900" w:h="16838" w:orient="portrait"/>
          <w:cols w:equalWidth="0" w:num="2">
            <w:col w:w="7782" w:space="720"/>
            <w:col w:w="2738"/>
          </w:cols>
          <w:pgMar w:left="320" w:top="125" w:right="339" w:bottom="1440" w:gutter="0" w:footer="0" w:header="0"/>
          <w:type w:val="continuous"/>
        </w:sectPr>
      </w:pPr>
    </w:p>
    <w:tbl>
      <w:tblPr>
        <w:tblLayout w:type="fixed"/>
        <w:tblInd w:w="1120" w:type="dxa"/>
        <w:tblCellMar>
          <w:top w:w="0" w:type="dxa"/>
          <w:left w:w="0" w:type="dxa"/>
          <w:bottom w:w="0" w:type="dxa"/>
          <w:right w:w="0" w:type="dxa"/>
        </w:tblCellMar>
      </w:tblPr>
      <w:tr>
        <w:trPr>
          <w:trHeight w:val="237"/>
        </w:trPr>
        <w:tc>
          <w:tcPr>
            <w:tcW w:w="73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Tangible assets acquired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842,458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acquired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2,970,600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462,693</w:t>
            </w:r>
          </w:p>
        </w:tc>
      </w:tr>
      <w:tr>
        <w:trPr>
          <w:trHeight w:val="20"/>
        </w:trPr>
        <w:tc>
          <w:tcPr>
            <w:tcW w:w="7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4,275,751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above estimated fair value of the intangible assets is based on a third party valuation expert and also includes additional analysis by management based on a subsequent analysis of the transaction and adjustments to the assets acquired and liabilities assumed, with the corresponding offset to goodwill. Going forward, adjustments to assets acquired or liabilities assumed subsequent to the purchase price allocation period will be made in our operating results in the period in which the adjustments are determined. During the first quarter of 2020, as a result of the negative effect of COVID-19 on the Company’s foodservice customers, the Company performed a goodwill impairment test based upon future growth projections which include estimates of COVID-19’s impact on our business. As a result of impairment test, the Company recorded an impairment of the intangible assets related to the igourmet acquisition in the amount of $1,126,417 (see note 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4. ACCOUNTS RECEIVABLE</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w w:val="90"/>
              </w:rPr>
              <w:t>At June 30, 2020 and December 31, 2019, accounts receivable consists of:</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from customers</w:t>
            </w:r>
          </w:p>
        </w:tc>
        <w:tc>
          <w:tcPr>
            <w:tcW w:w="1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2,187,828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3,405,114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(316,978)</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(95,284)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1,870,850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3,309,830</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primarily of specialty food products. At June 30, 2020 and December 31, 2019, inventory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2,830,047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and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 GMO, diet specific and other specialty foods. The test kitchen, packaging room and additional improvements were financed by a loan from Fifth Third Bank.</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on the building and the related improvements, furniture, fixtures, and equipment began when the Company occupied the facility in October, 2015.</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October 2019 was $6,150,000 “as is” and $8,000,000 with additional scheduled improvements. Related to the Facility purchase, the Company entered into a commercial loan agreement for both the purchase price and planned improvements to the Facility. The amount of the loan was $5,500,000, of which $4,451,934 had been utilized at June 30, 2020, in connection with the purchase of the Facility; the lender was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 at June 30, 2020 and December 31,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1,265,895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Building</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4,959,993</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4,959,993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549,703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Warehouse Equipment</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373,151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345,973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1,780,962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894,628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117,785</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117,785</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accumulated depreciation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9,067,148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8,124,977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(1,689,519)</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(1,479,588)</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7,377,629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6,645,389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for property and equipment amounted to $117,931 and $75,254 for the three months ended June 30, 2020 and 2019, respectively; depreciation and amortization expense for property and equipment amounted to $232,433 and $151,329 for the six months ended June 30,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 OF USE ASSETS AND LEASE LIABILITIES –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color w:val="auto"/>
        </w:rPr>
        <w:t>The Company’s lease expense was entirely comprised of operating leases. Lease expense for the three months ended June 30, 2020 and 2019 and amounted to $53,628 and $50,396, respectively. Lease expense for the six months ended June 30, 2020 and 2019 amounted to $107,256 and $97,267, respectively.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ROU asset amortization for the three months ended June 30, 2020 and 2019 was $57,322 and $45,963, respectively. The Company’s ROU asset amortization for the six months ended June 30, 2020 and 2019 was $107,271 and $88,644, respectively. The difference between the lease expense and the associated ROU asset amortization consists of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w w:val="99"/>
              </w:rPr>
              <w:t>Right to use assets – operating leases are summarized below:</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202,681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Warehouse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12,980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Right to use assets, net</w:t>
            </w:r>
          </w:p>
        </w:tc>
        <w:tc>
          <w:tcPr>
            <w:tcW w:w="18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301,392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193,733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 are summarized below:</w:t>
            </w:r>
          </w:p>
        </w:tc>
        <w:tc>
          <w:tcPr>
            <w:tcW w:w="1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202,681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Warehouse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12,980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8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301,392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193,733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Lease liability, non-current</w:t>
            </w:r>
          </w:p>
        </w:tc>
        <w:tc>
          <w:tcPr>
            <w:tcW w:w="18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201,420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60,437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vMerge w:val="restart"/>
          </w:tcPr>
          <w:p>
            <w:pPr>
              <w:jc w:val="right"/>
              <w:ind w:right="990"/>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June 30, 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For the period ended June 30, 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81,502</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June 30, 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55,331</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For the period ended June 30, 2024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52,976</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June 30, 2025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35,027</w:t>
            </w:r>
          </w:p>
        </w:tc>
      </w:tr>
      <w:tr>
        <w:trPr>
          <w:trHeight w:val="210"/>
        </w:trPr>
        <w:tc>
          <w:tcPr>
            <w:tcW w:w="1120" w:type="dxa"/>
            <w:vAlign w:val="bottom"/>
          </w:tcPr>
          <w:p>
            <w:pPr>
              <w:spacing w:after="0"/>
              <w:rPr>
                <w:sz w:val="18"/>
                <w:szCs w:val="18"/>
                <w:color w:val="auto"/>
              </w:rPr>
            </w:pPr>
          </w:p>
        </w:tc>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340,856</w:t>
            </w:r>
          </w:p>
        </w:tc>
        <w:tc>
          <w:tcPr>
            <w:tcW w:w="80" w:type="dxa"/>
            <w:vAlign w:val="bottom"/>
            <w:tcBorders>
              <w:top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(39,464)</w:t>
            </w:r>
          </w:p>
        </w:tc>
      </w:tr>
      <w:tr>
        <w:trPr>
          <w:trHeight w:val="209"/>
        </w:trPr>
        <w:tc>
          <w:tcPr>
            <w:tcW w:w="1120" w:type="dxa"/>
            <w:vAlign w:val="bottom"/>
          </w:tcPr>
          <w:p>
            <w:pPr>
              <w:spacing w:after="0"/>
              <w:rPr>
                <w:sz w:val="18"/>
                <w:szCs w:val="18"/>
                <w:color w:val="auto"/>
              </w:rPr>
            </w:pPr>
          </w:p>
        </w:tc>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301,392</w:t>
            </w: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made investments in certain early stage food related companies which it expects can benefit from synergies with the Company’s various operating businesses. At June 30, 2020 and December 31, 2019, the Company has investments in eight food related companies in the aggregate amount of $465,225 and $435,225, respectively. The Company does not have significant influence over the operations of these companies.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Accounting Standards Codification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and 2019, the Company converted accounts receivable in the amount of $30,000 and $30,500, respectively, into an equity investment in a food related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trade names are not considered finite-lived assets, and are not being amortized. The non-compete agreement is being amortized over a period of 48 months. The customer relationships acquired in these transactions are being amortized over periods of 24 to 36 months. The internally developed technology is being amortized over 60 months.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detailed in ASC 350,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(see note 3) and M Innovations (see note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estimated the fair value of the Company’s reporting unit using an income approach that incorporates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 it was calculated that the net carrying value of goodwill exceeded the fair value by $650,243, and the Company was required by ASC 350 to record an impairment charge to operations during the six months ended June 30, 2020. At June 30, 2020, the net carrying value of goodwill on the Company’s balance sheet is $0.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Impairment Test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six months ended June 30, 2020. At June 30, 2020, the net carrying value of other intangible assets on the Company’s balance sheet is $1,532,822.</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(see note 3), Innovative Gourmet (see note 3), OFB, Haley, and M Innovations (see note 3). The following is the net book value of these assets: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2020</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and Impairment</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 - amortizable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Customer Relationships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3,068,034</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1,532,822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Internally Developed Technology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875,643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650,243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Website - amortizable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98,000</w:t>
            </w:r>
          </w:p>
        </w:tc>
      </w:tr>
      <w:tr>
        <w:trPr>
          <w:trHeight w:val="20"/>
        </w:trPr>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6,730,642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(5,099,820)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1,630,822</w:t>
            </w:r>
          </w:p>
        </w:tc>
      </w:tr>
      <w:tr>
        <w:trPr>
          <w:trHeight w:val="413"/>
        </w:trPr>
        <w:tc>
          <w:tcPr>
            <w:tcW w:w="3960" w:type="dxa"/>
            <w:vAlign w:val="bottom"/>
            <w:tcBorders>
              <w:top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December 31, 2019</w:t>
            </w: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91"/>
        </w:trPr>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 - amortizable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(433,545)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72,355</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Customer Relationships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3,068,034</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(2,427,612)</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640,422</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1,532,822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Internally Developed Technology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875,643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(329,679)</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545,964</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650,243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650,243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Website - amortizable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84,000</w:t>
            </w:r>
          </w:p>
        </w:tc>
      </w:tr>
      <w:tr>
        <w:trPr>
          <w:trHeight w:val="20"/>
        </w:trPr>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6,716,642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(3,190,836)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3,525,806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amortization expense for the three months ended June 30, 2020 and 2019 was $0 and $250,567, respectively. Total amortization expense for the six months ended June 30, 2020 and 2019 was $210,032 and $479,697,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impairment charge for the three months ended June 30, 2020 and 2019 was $0. Total impairment charge for the six months ended June 30, 2020 and 2019 was $1,698,952 and $0,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June 30, 2020 and December 31, 2019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 and accrued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3,754,514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3,935,384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Accrued payroll and commissions</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68,216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74,572</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3,822,730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4,009,956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INTEREST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2020, accrued interest on notes outstanding was $44,259. During the three and six months ended June 30, 2020, the Company paid cash for interest in the aggregate amount of $66,023 and $125,396,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accrued interest on a note outstanding was $16,973. During the twelve months ended December 31, 2019, the Company paid cash for interest in the aggregate amount of $112,971.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REVOLVING CREDIT FACILITIES</w:t>
      </w:r>
    </w:p>
    <w:p>
      <w:pPr>
        <w:spacing w:after="0" w:line="225" w:lineRule="exact"/>
        <w:rPr>
          <w:sz w:val="20"/>
          <w:szCs w:val="20"/>
          <w:color w:val="auto"/>
        </w:rPr>
      </w:pPr>
    </w:p>
    <w:tbl>
      <w:tblPr>
        <w:tblLayout w:type="fixed"/>
        <w:tblInd w:w="800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bl>
    <w:p>
      <w:pPr>
        <w:spacing w:after="0" w:line="202" w:lineRule="exact"/>
        <w:rPr>
          <w:sz w:val="20"/>
          <w:szCs w:val="20"/>
          <w:color w:val="auto"/>
        </w:rPr>
      </w:pPr>
    </w:p>
    <w:p>
      <w:pPr>
        <w:jc w:val="both"/>
        <w:ind w:right="3360"/>
        <w:spacing w:after="0" w:line="265" w:lineRule="auto"/>
        <w:rPr>
          <w:sz w:val="20"/>
          <w:szCs w:val="20"/>
          <w:color w:val="auto"/>
        </w:rPr>
      </w:pPr>
      <w:r>
        <w:rPr>
          <w:rFonts w:ascii="Arial" w:cs="Arial" w:eastAsia="Arial" w:hAnsi="Arial"/>
          <w:sz w:val="17"/>
          <w:szCs w:val="17"/>
          <w:color w:val="auto"/>
        </w:rPr>
        <w:t>Line of credit facility with Fifth Third Bank in the original amount of $1,000,000 with an interest rate of LIBOR plus 3.25% (the “Fifth Third Bank Line of Credit”). In August 2015, the amount of the credit facility was increased to $1,500,000 and the due date was extended to August 1, 2016. In August 2016, this credit facility was extended to August 1, 2017. On August1, 2017 this credit facility was increased to $2,000,000 and the due date was extended to August 1, 2018. In August 2018, this credit facility was extended to August 1, 2019. Effective August 1, 2019, this credit facility was extended to August 1, 2021. On March 20, 2020, the Company drew down the amount of $2,000,000. During the three and six months ended June 30, 2020, the Company paid interest expense in the amount of $19,118 and $22,604, respectively, on the Fifth Third Bank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1371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2960" w:type="dxa"/>
            <w:vAlign w:val="bottom"/>
          </w:tcPr>
          <w:p>
            <w:pPr>
              <w:spacing w:after="0"/>
              <w:rPr>
                <w:sz w:val="18"/>
                <w:szCs w:val="18"/>
                <w:color w:val="auto"/>
              </w:rPr>
            </w:pPr>
          </w:p>
        </w:tc>
        <w:tc>
          <w:tcPr>
            <w:tcW w:w="5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8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9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13"/>
        </w:trPr>
        <w:tc>
          <w:tcPr>
            <w:tcW w:w="2960" w:type="dxa"/>
            <w:vAlign w:val="bottom"/>
            <w:tcBorders>
              <w:top w:val="single" w:sz="8" w:color="CCEEFF"/>
            </w:tcBorders>
          </w:tcPr>
          <w:p>
            <w:pPr>
              <w:spacing w:after="0"/>
              <w:rPr>
                <w:sz w:val="24"/>
                <w:szCs w:val="24"/>
                <w:color w:val="auto"/>
              </w:rPr>
            </w:pPr>
          </w:p>
        </w:tc>
        <w:tc>
          <w:tcPr>
            <w:tcW w:w="504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18</w:t>
            </w: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96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13. NOTES PAYABLE</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Secured mortgage note payable for the acquisition of land and building in Bonita Springs, Florida in the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$546,000. Principal payments of $4,550 plus interest at the rate of Libor plus 3% are due monthly.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balance of the principal amount was originally due February 28, 2018. On March 23, 2018 and effective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February 26, 2018, this note was amended and renewed in the amount of $273,000, with monthly payments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of principal and interest of $4,550 payable through the maturity date of February 28, 2023. During the three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months ended June 30, 2020, the Company made payments of principal and interest on this note in the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amounts of $13,650 and $2,050, respectively. During the six months ended June 30, 2020, the Company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made payments of principal and interest on this note in the amounts of $27,300 and $2,050, respectively.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177,450</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for the acquisition of land and building in Broadview, Illinois in the amount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of $980,000. Principal payments of $8,167 plus interest at the rate of LIBOR plus 2.75% are due monthly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through April 2020, the remaining principal balance in the amount of $490,000 was originally due May 29,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2020. Effective May 29, 2020, the note was amended and renewed such that principal payments of $8,303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plus accrued interest will be due beginning June 29, 2020 and continuing for sixty months; the entire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principal balance and all accrued interest will be due on May 29, 2025. During the three months ended June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30, 2020 and 2019, the Company made payments of principal and interest on this note in the amounts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$8,167 and $2,930, respectively. During the six months ended June, 2020 and 2019, the Company made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payments of principal and interest on this note in the amounts of $32,667 and $8,880, respectively.</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498,166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530,833</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dated March 22, 2019 in the original amount of $391,558 (the “Artisan Equipment Loan”)</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payable to Fifth Third Bank. This loan is secured by the Company’s tangible and intangible personal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and bears interest at the rate of 5.20%. The entire principal balance and all accrued interest is due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on the maturity date of March 21, 2024. Monthly payments in the amount of $7,425 including principal and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commenced in April, 2019. During the year ended December 31, 2019, equipment financed under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the Artisan Equipment Loan in the amount of $33,075 was returned for credit. During the three months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ended June 30, 2020, the Company made payments of principal and interest on this note in the amounts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$16,677 and $3,742, respectively. During the six months ended June 30, 2020, the Company made payments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of principal and interest on this note in the amounts of $33,080 and $7,707, respectively.</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309,829</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 note payable in the amount of $20,000. The Note was due in January 2006 and the Company is currently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accruing interest on this note at 1.9%. During the three months ended June 30, 2020 and 2019, the Company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interest in the amount of $93 on this note. During the six months ended June 30, 2020 and 2019, the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Company accrued interest in the amount of $186 on this note.</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Vehicle acquisition loan dated December 6, 2018 in the original amount of $51,088, payable in sixty monthly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installments of $955 including interest at the rate of 4.61%. During the three months ended June 30, 2020,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Company made principal and interest payments in the amount of $3,196 and $571, respectively, on this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loan. During the six months ended June 30, 2020, the Company made principal and interest payments in the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amount of $4,813 and $571, respectively, on this loan.</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41,788</w:t>
            </w: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800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Secured mortgage facility in the amount of $5,500,000 with Fifth Third Bank for the acquisition of land and building in Wright, Pennsylvania dated November 8, 2019. The mortgage facility is secured by the assets acquired. During the year ended December 31, 2019, the Company drew down $3,600,000 of this facility. During the three and six months ended June 30, 2020, the Company drew down an additional $701,148 and $851,934 of this facility, respectively. The interest rate is LIBOR plus 2.75% with interest only due through September 30, 2020, thereafter with principal amortized at a 20 years amortization rate and the balance due on the maturity date of September 2, 2025. The Company prepaid loan fees in connection with this loan in the amount of $71,097 which are considered a discount to the loan and are being amortized over the term of the note; $3,123 and $6,246, respectively, of this discount was amortized to interest expense during the three and six months ended June 30, 2020. During the three months ended June 30, 2020 the Company made principal and interest payments in the amount of $0 and $33,407, respectively, on this loan. During the six months ended June 30, 2020 the Company made principal and interest payments in the amount of $0 and $74,894, respectively, on this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-1791970</wp:posOffset>
            </wp:positionV>
            <wp:extent cx="7132320" cy="1783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 payable to Fifth Third Bank dated April 21, 2020 pursuant to the Paycheck Protection Program (the “PPP Loan”) established under the Coronavirus Aid, Relief, and Economic Security Act (the “CARES Act”) in the principal amount of $1,650,221. The term of the PPP Loan is two years, and the annual interest rate is 1%. Under the terms of the CARES Act, PPP Loan recipients can apply for an be granted forgiveness for all or a portion of loans granted under the Paycheck Protection Program. No assurance is provided that the Company will obtain forgiveness of the PPP Loan in whole or in part. During the three and six months ended June 30, 2020, the Company accrued interest in the amount of $3,210 on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-981710</wp:posOffset>
            </wp:positionV>
            <wp:extent cx="7132320" cy="960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of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notes payable as of June 30, 2020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June 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4,451,934</w:t>
      </w:r>
      <w:r>
        <w:rPr>
          <w:sz w:val="20"/>
          <w:szCs w:val="20"/>
          <w:color w:val="auto"/>
        </w:rPr>
        <w:tab/>
      </w:r>
      <w:r>
        <w:rPr>
          <w:rFonts w:ascii="Arial" w:cs="Arial" w:eastAsia="Arial" w:hAnsi="Arial"/>
          <w:sz w:val="17"/>
          <w:szCs w:val="17"/>
          <w:color w:val="auto"/>
        </w:rPr>
        <w:t>3,600,000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1,650,221</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11"/>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7,084,195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(64,851)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(71,097)</w:t>
            </w:r>
          </w:p>
        </w:tc>
      </w:tr>
      <w:tr>
        <w:trPr>
          <w:trHeight w:val="21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7,019,344</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4,608,803</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1,117,316</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727,766</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5,966,879</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3,952,134</w:t>
            </w:r>
          </w:p>
        </w:tc>
        <w:tc>
          <w:tcPr>
            <w:tcW w:w="60" w:type="dxa"/>
            <w:vAlign w:val="bottom"/>
          </w:tcPr>
          <w:p>
            <w:pPr>
              <w:spacing w:after="0"/>
              <w:rPr>
                <w:sz w:val="20"/>
                <w:szCs w:val="20"/>
                <w:color w:val="auto"/>
              </w:rPr>
            </w:pPr>
          </w:p>
        </w:tc>
      </w:tr>
      <w:tr>
        <w:trPr>
          <w:trHeight w:val="21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7,084,195</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-753745</wp:posOffset>
            </wp:positionV>
            <wp:extent cx="934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-170815</wp:posOffset>
            </wp:positionV>
            <wp:extent cx="934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hanging="853"/>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437,758</w:t>
      </w:r>
    </w:p>
    <w:p>
      <w:pPr>
        <w:spacing w:after="0" w:line="2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7"/>
          <w:szCs w:val="17"/>
          <w:color w:val="auto"/>
        </w:rPr>
        <w:t>2,072,992</w:t>
      </w:r>
    </w:p>
    <w:p>
      <w:pPr>
        <w:spacing w:after="0" w:line="20"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413,512</w:t>
      </w:r>
    </w:p>
    <w:p>
      <w:pPr>
        <w:spacing w:after="0" w:line="9"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351,989</w:t>
      </w:r>
    </w:p>
    <w:p>
      <w:pPr>
        <w:spacing w:after="0" w:line="9"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285,539</w:t>
      </w:r>
    </w:p>
    <w:p>
      <w:pPr>
        <w:spacing w:after="0" w:line="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7"/>
          <w:szCs w:val="17"/>
          <w:color w:val="auto"/>
        </w:rPr>
        <w:t>3,522,405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13335</wp:posOffset>
            </wp:positionV>
            <wp:extent cx="916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 w:lineRule="exact"/>
        <w:rPr>
          <w:sz w:val="20"/>
          <w:szCs w:val="20"/>
          <w:color w:val="auto"/>
        </w:rPr>
      </w:pPr>
    </w:p>
    <w:p>
      <w:pPr>
        <w:ind w:left="1660" w:hanging="733"/>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7,084,195</w:t>
      </w:r>
    </w:p>
    <w:p>
      <w:pPr>
        <w:sectPr>
          <w:pgSz w:w="11900" w:h="16838" w:orient="portrait"/>
          <w:cols w:equalWidth="0" w:num="3">
            <w:col w:w="7880" w:space="120"/>
            <w:col w:w="100" w:space="660"/>
            <w:col w:w="2440"/>
          </w:cols>
          <w:pgMar w:left="320" w:top="125" w:right="37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14. LEASE LIABILITIES - FINANCING LEASES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in the original amount of $152,548 payable in</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eighty-four monthly installments of $2,188 including interest at the rate of 5.44%. During the three and six</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months ended June 30, 2020, the Company made principal and interest payments on this lease obligation in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the amounts of $6,025 and $2,727, respectively.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truck dated November 5, 2018 in the original</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$128,587 payable in seventy monthly installments of $2,326 including interest at the rate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8.33%. During the three months ended June 30, 2020, the Company made principal and interest payments 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this lease obligation in the amounts of $4,869 and $2,108, respectively. During the six months ended June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7"/>
              </w:rPr>
              <w:t>30, 2020, the Company made principal and interest payments on this lease obligation in the amounts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$9,638 and $4,317, respectively.</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107,597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dated August 23, 2019 in the original amount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of $80,413 payable in eighty-four monthly installments of $1,148 including interest at the rate of 5.0%.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During the three months ended June 30, 2020, the Company made principal and interest payments on this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6"/>
              </w:rPr>
              <w:t>lease obligation in the amounts of $2,521 and $923, respectively. During the six months ended June 30,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2020, the Company made principal and interest payments on this lease obligation in the amounts of $5,010</w:t>
            </w:r>
          </w:p>
        </w:tc>
        <w:tc>
          <w:tcPr>
            <w:tcW w:w="26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72,130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77,140</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and $1,877, respectively.</w:t>
            </w:r>
          </w:p>
        </w:tc>
        <w:tc>
          <w:tcPr>
            <w:tcW w:w="26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maturities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Aggregate maturities of lease liabilities – financing leases as of June 30, 2020 are as follows:</w:t>
            </w: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For the period ended June 30,</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53,021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60,467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316,612</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7980" w:firstLine="8"/>
        <w:spacing w:after="0" w:line="566" w:lineRule="auto"/>
        <w:tabs>
          <w:tab w:leader="none" w:pos="27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For the six months ended June 30, 2020:</w:t>
      </w: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six months ended June 30, 2020 in connection with stock based compensation based upon the terms of employment agreements with its employees and compensation agreements with the Company’s independent board members, the Company charged to operations the amount of $35,000 for the vesting of a total of 69,928 shares of common stock issuable to two of its independent board members, and $90,238 for the vesting of a total of 231,756 shares of common stock issuable to two of its executive officers. The Company also recognized non-cash compensation in the amount of $76,450 during the six months ended June 30, 2020 in connection with stock options issuable to management and board members.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executive officer provided a limited waiver through June 29, 2020 of certain rights and benefits contained in his employment agreement following a Change in Control (as defined in the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2019 in connection with stock based compensation based upon the terms of employment agreements with its employees and compensation agreements with the Company’s independent board members, the Company charged to operations the aggregate total amount of $54,036 for the vesting of a total of 97,084 shares of common stock issuable to its Chief Executive Officer, its Director of Strategic Acquisitions and to its two independent board members.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the Company awarded the following to each of its two independent directors: (i) a cash retainer in the amount of $45,000, which was paid in January 2019; and (ii) cash retainers in the amount of $30,000 per year, to be paid quarterly.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the Company awarded the following stock options to each of its four directors:</w:t>
      </w:r>
    </w:p>
    <w:p>
      <w:pPr>
        <w:spacing w:after="0" w:line="225" w:lineRule="exact"/>
        <w:rPr>
          <w:sz w:val="20"/>
          <w:szCs w:val="20"/>
          <w:color w:val="auto"/>
        </w:rPr>
      </w:pPr>
    </w:p>
    <w:p>
      <w:pPr>
        <w:ind w:left="1140" w:hanging="376"/>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five-year options to purchase 90,000 shares of common stock at a price of $0.62 per share, vesting quarterly over a three year period;</w:t>
      </w:r>
    </w:p>
    <w:p>
      <w:pPr>
        <w:spacing w:after="0" w:line="46" w:lineRule="exact"/>
        <w:rPr>
          <w:rFonts w:ascii="Arial" w:cs="Arial" w:eastAsia="Arial" w:hAnsi="Arial"/>
          <w:sz w:val="16"/>
          <w:szCs w:val="16"/>
          <w:color w:val="auto"/>
        </w:rPr>
      </w:pPr>
    </w:p>
    <w:p>
      <w:pPr>
        <w:ind w:left="1140" w:hanging="376"/>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(ii) five-year options to purchase 135,000 shares of common stock at a price of $0.85 per share, vesting quarterly over a three year period;</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(iii) five-year options to purchase 225,000 shares of common stock at a price of $1.20 per share, vesting quarterly over a three year period</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non-cash compensation in the amount of $38,550 and $77,100 during the three and six months ended June 30 2019 in connection with these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igourmet Asset Purchase Agreement, the Company recorded contingent liabilities in the original amount of $787,800. This amount relates to certain performance based payments over the twenty-four months following the acquisition date as well as to certain additional liabilities that the Company has evaluated and has recorded on a contingent basis. During the years ended December 31, 2018 and 2019, the Company reduced this amount by $392,900 and $132,300, respectively, as the performance goals for the first two years were not met. During the year ended December 31, 2019, the Company paid the amount of $39,000 in connection with the additional liabilities; during the three and six months ended June 30, 2020, the Company paid the amount of $12,000 and $24,000, respectively, in connection with the additional liabilities. At June 30, 2020, the amount of $67,000 remains on the Company’s balance sheet as a current contingent liability, and $132,600 as a long term contingent liability.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 based payments following the acquisition date as well as to certain additional liabilities that the Company has evaluated and has recorded on a contingent basis. During the year ended December 31, 2019, the Company paid the amount of $120,576 in connection with these liabilities. At June 30, 2020, $120,000 is classified as a current contingent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during the three and six months ended June 30, 2020, the Company paid an additional $10,000 and $20,000, respectively, towards the minimum royalty.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and December 31, 2019, a total of 2,837,580 shares are deemed issued but not outstanding by the Company. These include 2,623,171 shares of treasury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38,943 shares of common stock with a fair value of $17,135 to an employee as a bonus.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4,762 shares of common stock with a fair value of $2,286 to a service provider.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the amount of $35,000 in connection with the vesting of 69,928 shares of common stock issuable to board members in connection with their compensation agreements. The Company also recorded the amount of $90,238 in connection with the vesting of 231,756 shares of common stock representing the annual stock award to its two executive officers per their employment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amount of $76,450 in connection with the vesting of stock options to management and board members.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a total of 131,136 shares of common stock to seven employees for previously accrued bonuses in the amount of $93,666.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accrued the amount of $119,151 in connection with the vesting of 221,960 shares of common stock issuable to board members and employees in connection with their employment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at June 30, 2020 and the related prices for the options to purchase shares of the Company’s common stock issued by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exercise</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12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Range of</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price of</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price of</w:t>
            </w:r>
          </w:p>
        </w:tc>
      </w:tr>
      <w:tr>
        <w:trPr>
          <w:trHeight w:val="216"/>
        </w:trPr>
        <w:tc>
          <w:tcPr>
            <w:tcW w:w="12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3"/>
              </w:rPr>
              <w:t>exercise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contractual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44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options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exercisable</w:t>
            </w:r>
          </w:p>
        </w:tc>
      </w:tr>
      <w:tr>
        <w:trPr>
          <w:trHeight w:val="234"/>
        </w:trPr>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5"/>
              </w:rPr>
              <w:t>Prices</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1"/>
              </w:rPr>
              <w:t>life (years)</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r>
      <w:tr>
        <w:trPr>
          <w:trHeight w:val="209"/>
        </w:trPr>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0.62</w:t>
            </w: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3.50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r>
      <w:tr>
        <w:trPr>
          <w:trHeight w:val="216"/>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0.85</w:t>
            </w:r>
          </w:p>
        </w:tc>
        <w:tc>
          <w:tcPr>
            <w:tcW w:w="1720" w:type="dxa"/>
            <w:vAlign w:val="bottom"/>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3.50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0.85</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270,000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r>
      <w:tr>
        <w:trPr>
          <w:trHeight w:val="216"/>
        </w:trPr>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1.10</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0.87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1.20</w:t>
            </w:r>
          </w:p>
        </w:tc>
        <w:tc>
          <w:tcPr>
            <w:tcW w:w="1720" w:type="dxa"/>
            <w:vAlign w:val="bottom"/>
          </w:tcPr>
          <w:p>
            <w:pPr>
              <w:jc w:val="right"/>
              <w:spacing w:after="0"/>
              <w:rPr>
                <w:sz w:val="20"/>
                <w:szCs w:val="20"/>
                <w:color w:val="auto"/>
              </w:rPr>
            </w:pPr>
            <w:r>
              <w:rPr>
                <w:rFonts w:ascii="Arial" w:cs="Arial" w:eastAsia="Arial" w:hAnsi="Arial"/>
                <w:sz w:val="18"/>
                <w:szCs w:val="18"/>
                <w:color w:val="auto"/>
              </w:rPr>
              <w:t>1,050,000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450,000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1.50</w:t>
            </w:r>
          </w:p>
        </w:tc>
        <w:tc>
          <w:tcPr>
            <w:tcW w:w="1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0"/>
        </w:trPr>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2,150,000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1,100,000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1840" w:type="dxa"/>
            <w:vAlign w:val="bottom"/>
            <w:gridSpan w:val="4"/>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00" w:type="dxa"/>
            <w:vAlign w:val="bottom"/>
            <w:gridSpan w:val="7"/>
          </w:tcPr>
          <w:p>
            <w:pPr>
              <w:spacing w:after="0"/>
              <w:rPr>
                <w:sz w:val="20"/>
                <w:szCs w:val="20"/>
                <w:color w:val="auto"/>
              </w:rPr>
            </w:pPr>
            <w:r>
              <w:rPr>
                <w:rFonts w:ascii="Arial" w:cs="Arial" w:eastAsia="Arial" w:hAnsi="Arial"/>
                <w:sz w:val="18"/>
                <w:szCs w:val="18"/>
                <w:color w:val="auto"/>
                <w:w w:val="99"/>
              </w:rPr>
              <w:t>Transactions involving stock options are summarized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r>
      <w:tr>
        <w:trPr>
          <w:trHeight w:val="209"/>
        </w:trPr>
        <w:tc>
          <w:tcPr>
            <w:tcW w:w="3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2,525,000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12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(475,000)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09"/>
        </w:trPr>
        <w:tc>
          <w:tcPr>
            <w:tcW w:w="3780" w:type="dxa"/>
            <w:vAlign w:val="bottom"/>
            <w:tcBorders>
              <w:top w:val="single" w:sz="8" w:color="CCEEFF"/>
            </w:tcBorders>
            <w:gridSpan w:val="6"/>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gridSpan w:val="3"/>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7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Options outstanding at June 30, 2020</w:t>
            </w:r>
          </w:p>
        </w:tc>
        <w:tc>
          <w:tcPr>
            <w:tcW w:w="1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3780" w:type="dxa"/>
            <w:vAlign w:val="bottom"/>
            <w:gridSpan w:val="6"/>
          </w:tcPr>
          <w:p>
            <w:pPr>
              <w:spacing w:after="0" w:line="196" w:lineRule="exact"/>
              <w:rPr>
                <w:sz w:val="20"/>
                <w:szCs w:val="20"/>
                <w:color w:val="auto"/>
              </w:rPr>
            </w:pPr>
            <w:r>
              <w:rPr>
                <w:rFonts w:ascii="Arial" w:cs="Arial" w:eastAsia="Arial" w:hAnsi="Arial"/>
                <w:sz w:val="18"/>
                <w:szCs w:val="18"/>
                <w:color w:val="auto"/>
              </w:rPr>
              <w:t>Options exercisable at June 30, 2020</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1,100,000</w:t>
            </w:r>
          </w:p>
        </w:tc>
        <w:tc>
          <w:tcPr>
            <w:tcW w:w="140" w:type="dxa"/>
            <w:vAlign w:val="bottom"/>
          </w:tcPr>
          <w:p>
            <w:pPr>
              <w:spacing w:after="0"/>
              <w:rPr>
                <w:sz w:val="17"/>
                <w:szCs w:val="17"/>
                <w:color w:val="auto"/>
              </w:rPr>
            </w:pPr>
          </w:p>
        </w:tc>
        <w:tc>
          <w:tcPr>
            <w:tcW w:w="2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1.05</w:t>
            </w: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June 30, 2020 and 2019 was $0. Aggregate intrinsic value represents the difference between the Company’s closing stock price on the last trading day of the fiscal period, which was $0.35 and $0.45 as of June 30, 2020 and 2019, respectively, and the exercise price multiplied by the number of options outstanding.</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June 30, 2020 and 2019, the Company charged $42,330 and $38,550, respectively, to operations to recognized stock-based compensation expense for employee stock options. During the six months ended June 30, 2020 and 2019, the Company charged $76,450 and $77,101, respectively, to operations to recognized stock-based compensation expense for employee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warrants and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valued warrants and stock options during the six months ended June 30, 2020 and 2019 using the Black-Scholes valuation model utilizing the following variables: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Term (years)</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14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5580" w:type="dxa"/>
            <w:vAlign w:val="bottom"/>
          </w:tcPr>
          <w:p>
            <w:pPr>
              <w:ind w:left="442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82" w:lineRule="exact"/>
        <w:rPr>
          <w:sz w:val="20"/>
          <w:szCs w:val="20"/>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2140" w:right="20" w:hanging="108"/>
        <w:spacing w:after="0" w:line="263" w:lineRule="auto"/>
        <w:tabs>
          <w:tab w:leader="none" w:pos="2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Securities and Exchange Commission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Doubtful Accounts Receivable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maintained an allowance in the amount of $316,978 for doubtful accounts receivable at June 30, 2020, and $95,284 at December 31, 2019. The increase in the allowance was mainly due to the increased likelihood of certain uncollectible amounts associated with national brand management customers.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Florida corporation, for 500,000 shares of our common stock.</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 On June 30, 2014, pursuant to a purchase agreement, the Company purchased 100% of the membership interest of Organic Food Brokers, LLC, a Colorado limited liability company (“OFB”), for $300,000, 100,000 four year options at a price of $1.46 per share, and up to an additional $225,000 in earn-outs if certain milestones are met. Pursuant to an Asset Purchase Agreement dated as of January 1, 2017 the Company’s wholly-owned subsidiary,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January 24, 2018, pursuant to an asset purchase agreement (the “igourmet Asset Purchase Agreement”), our wholly-owned subsidiary, Innovative Gourmet,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and 2019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July 6, 2018, pursuant to an asset purchase agreement between Mouth Foods, Inc. and our wholly-owned subsidiary M Innovations (the “MFI APA”), the Company acquired certain assets of Mouth Foods, Inc.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Foods, Inc., a privately held New York company operating out of Brooklyn, was an expert curator and online retailer of high quality specialty foods from small-batch makers in the US.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2019 (1) following our discussion of Liquidity and Capital Resources, (2) Concentrations of Credit Risk in Note 17 to the Consolidated Financial Statements, and (3) as the fourth item under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historically sold the majority of our products through a distributor relationship between FII and Next Day Gourmet, L.P., a subsidiary of U.S. Foods, a leading broadline distributor. These sales amounted to $3,188,119 (27% of total sales) and $8,669,200 (62% of total sales) for the three months ended June 30, 2020 and 2019 respectively; These sales amounted to $10,571,697 (42% of total sales) and $16,210,496 (61% of total sales) for the six months ended June 30, 2020 and 2019 respectively. On January 26, 2015 we executed a contract between Food Innovations, Inc., our wholly-owned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2020, the world has been in the grip of a coronavirus pandemic which has wreaked havoc on economies world-wide, including in the U.S., which is our primary market. As a result of the pandemic, restaurants, hotels, country clubs, casinos, catering houses and other of our primary customers have either been closed completely or are only partially open with significantly reduced operations. Accordingly, foodservice revenues, which historically have been a significant overall portion of our revenues, have been significantly reduced as most foodservice establishments across the United States closed or had limited operations. As a result, 2020 foodservice revenues, starting in the second half of March 2020 experienced unprecedented declines.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Conversely, we have experienced significant growth in our on-line e-commerce revenues as overall e-commerce grew as demand for food products continued across the United States. Accordingly, we have focused our resources on meeting the growth of e-commerce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decreased by $1,927,802 or approximately 13.8% to $11,997,649 for the three months ended June 30, 2020 from $13,925,451 in the prior year. The decrease in decrease in revenues is primarily attributable to a decrease in specialty foodservice revenues which was driven by the nationwide closures of restaurants and other foodservice establishments related to COVID-19. The decline in specialty foodservice was partially offset with revenues increases mainly associated with e-commerce revenues. The increases in e-commerce revenues were driven by the Company’s ability to increase sales at its e-commerce properties and convert significant shifts in e-commerce specialty foods, supermarket trends, and e-commerce grocery trends, driven initially by COVID-19, into e-commerce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with an expanded focus on the specialty food e-commerce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cost of goods sold for the three months ended June 30, 2020 was $8,677,096, a decrease of $1,185,273 or approximately 12.0% compared to cost of goods sold of $9,862,369 for the three months ended June 30, 2019. Cost of goods sold is made up of the following expenses for the three months ended June 30, 2020: cost of goods of specialty, meat, game, cheese, seafood, poultry and other sales categories in the amount of $5,242,029; shipping, delivery, handling, and purchase allowance expenses in the amount of $3,277,803; and cost of goods associated with logistics of $157,264. Total gross margin was approximately 27.7% of sales in 2020 compared to approximately 29.2% of sales in 2019. The decrease in cost of goods sold is attributed mainly to a decrease in revenues compared to 2019. The decrease in margins compared to 2019 is primarily attributable to variation in product and revenue mix across our various selling channels including a decrease in higher gross margin revenues associated with National Brand Management and variations in both revenue mix and gross margins associated with foodservice and e-commerce revenues including revenue and margin variations driven by the COVID-19 pandemic.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continued to price our products in order to increase sales, gain market share and increase the number of our end users and e-commerce customers. We were successful in both increasing sales and increasing market share and increasing the number of our e-commerce customers. We currently expect, if market conditions, overall economic conditions, and our product revenue mix remain constant, that our cost of goods sold may increase and may result in a decrease in profit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increased by $877,601 or approximately 21.8% to $4,895,430 during the three months ended June 30, 2020 compared to $4,017,829 for the three months ended June 30, 2019. The increase in selling, general, and administrative expenses was primarily due to increases in payroll and related costs of approximately $535,377, increases in advertising costs of $420,045, increases in professional and legal fees in the amount of $184,118, increases in taxes in the amount of $73,895; increases in banking and credit card fees of $61,400, and increases in insurance costs of $50,318. These increases were partially offset by a decrease in depreciation and amortization of $207,950; a decrease in office, facility, and vehicle costs of $144,706, and a decrease in travel and entertainment costs of $67,617. The increases were driven mainly by additional costs including increases in costs including warehouse fulfillment costs associated with COVID-19, increased costs associated with additional personnel mainly associated with warehouse operations, overall employee costs and insurance costs, increased legal, accounting, facility and IT costs including costs associated with the planned launch of new websites, and significant increased advertising associated with increased spending in digital marketing related to certain of the Company’s e-commerce websites.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interest income, increased by $67,497 or approximately 291.6% to $90,646 during the three months ended June 30, 2020, compared to $23,149 during the three months ended June 30, 2019. Interest accrued or paid on the Company’s commercial loans and notes payable increased by $64,429 to $89,221 during the current period, compared to $24,792 during the prior period, primarily due to interest on the Company’s mortgage on the logistics and warehouse facility in Mountaintop, Pennsylvania, which was $33,407 during the three months ended June 30, 2020 compared to $0 during the prior period, and the interest on the credit line with Fifth Third Bank in the amount of $19,118 during the three months ended June 30, 2020, compared to $0 during the prior period. Interest expense also increased by the amortization of the discount on notes payable, which was $3,123 during the current period, compared to $0 during the comparable period of 2019. Interest income increased by $55 to $1,698 during the current period compared to $1,643 during the prior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reasons above, the Company had a net loss for the three months ended June 30, 2020 of $(1,654,546) which is an increase of approximately $1,676,650 or 7,585% compared to net income of $22,104 during the three months ended June 30, 2019. The loss for the three months ended June 30, 2020 includes a total of $272,999 in non-cash charges, including depreciation expense of $117,931 and charges for non-cash compensation in the amount of $155,068. The income for the three months ended June 30, 2019 includes a total of $421,989 in non-cash charges, including amortization of intangible assets in the amount of $250,567, depreciation expense of $75,314, and non-cash compensation of $96,108.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decreased by $1,481,097 or approximately 5.5% to $25,303,569 for the six months ended June 30, 2020 from $26,784,666 in the prior year. The decrease in revenues is primarily attributable to a decrease in specialty foodservice revenues which was driven by the nationwide closures of restaurants and other foodservice establishments related to COVID-19. The decline in specialty foodservice was partially offset with revenues increases mainly associated with e-commerce. The increases in e-commerce revenues were driven by the Company’s ability to increase sales at its e-commerce properties and convert significant shifts in e-commerce specialty food, supermarket trends, and e-commerce grocery trends, driven initially by the COVID-19 pandemic, into e-commerce revenues.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cost of goods sold for the six months ended June 30, 2020 was $18,869,960, an increase of $126,211 or approximately 0.7% compared to cost of goods sold of $18,743,749 for the six months ended June 30, 2019. Cost of goods sold is made up of the following expenses for the six months ended June 30, 2020: cost of goods of specialty, meat, game, cheese, seafood, poultry and other sales categories in the amount of $11,901,325, shipping, delivery, handling, and purchase allowance expenses in the amount of $6,626,403, and cost of goods associated with logistics of $342,232. Total gross margin was approximately 25.4% of sales in 2020 compared to approximately 30.0% of sales in 2019. The increase in cost of goods sold and the decrease in gross margins from 2019 is primarily attributable to variation in product and revenue mix across our various selling channels including a decrease in higher gross margin revenues associated with National Brand Management and variations in both revenue mix and gross margins associated with foodservice and e-commerce revenues including revenue and margin variations driven by the COVID-19 pandemic.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continued to price our products in order to increase sales, gain market share and increase the number of our end users and e-commerce customers. We were successful in both increasing sales and increasing market share and increasing the number of our e-commerce customers. We currently expect, if market conditions, overall economic conditions, and our product revenue mix remain constant, that our cost of goods sold may increase and may result in a decrease in profit margin.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2020, the Company performed impairment tests of our goodwill and intangible assets that incorporated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tests, the Company was required by applicable accounting rules to record an impairment of goodwill and intangible assets in the aggregate amount of $1,698,952. At June 30, 2020, the net carrying value of goodwill and other intangible assets on the Company’s balance sheet is $1,630,822. There was no such comparable charge during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general, and administrative expenses increased by $1,701,365 or approximately 21.8% to $9,508,191 during the six months ended June 30, 2020 compared to $7,806,826 for the six months ended June 30, 2019. The increase in selling, general, and administrative expenses was primarily due to increases in payroll and related costs of approximately $698,696, increases in advertising costs of $551,812, increases in professional and legal fees in the amount of $297,548, an increase in allowance for doubtful accounts of $221,829, increases in insurance costs of $102,854, increases in banking and credit card fees of $100,524, increase in computer and IT costs of $88,856, and increased taxes in the amount of $57,413. These increases were partially offset by a decrease in depreciation and amortization of $188,590, a decrease in office, facility, and vehicle costs of $113,951, and a decrease in travel and entertainment costs of $106,664. The increases were driven mainly by additional costs including increases in costs including warehouse fulfillment costs associated with COVID-19, increased costs associated with additional personnel mainly related to warehouse operations, overall employee costs and insurance costs, increased legal, accounting, facility and IT costs including costs associated with the planned launch of new websites, and significant increased advertising associated with increased spending in digital marketing related to certain of the Company’s e-commerce websites.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interest income, increased by $108,439 or approximately 223.0% to $157,066 during the six months ended June 30, 2020, compared to $48,627 during the six months ended June 30, 2019. Interest accrued or paid on the Company’s commercial loans and notes payable increased by $102,428 to $154,216 during the current period, compared to $51,788 during the prior period, primarily due to interest on the Company’s mortgage on the logistics and warehouse facility in Mountaintop, Pennsylvania, which was $74,894 during the six months ended June 30, 2020 compared to $0 during the prior period, and the interest on the credit line with Fifth Third Bank in the amount of $22,604 during the six months ended June 30, 2020, compared to $0 during the prior period. Interest expense also increased by the amortization of the discount on notes payable, which was $6,246 during the current period, compared to $0 during the comparable period of 2019. Interest income increased by $235 to $3,396 during the current period compared to $3,161 during the prior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reasons above, the Company had a net loss for the six months ended June 30, 2020 of $(4,908,744) which is an increase of approximately $5,094,208 or 2,747% compared to net income of $185,464 during the six months ended June 30, 2019. The loss for the six months ended June 30, 2020 includes a total of $2,590,632 in non-cash charges, including impairment of intangible assets in the amount of $1,698,952, uncollectible debt allowance of $221,799, amortization of intangible assets in the amount of $210,032, depreciation expense of $232,433, charges for non-cash compensation in the amount of $221,109, and amortization of the discount on notes payable of $6,246. The income for the six months ended June 30, 2019 includes a total of $827,338 in non-cash charges, including amortization of intangible assets in the amount of $479,697, depreciation expense of $151,389, and non-cash compensation of $196,252.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June 30,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the Company had current assets of $10,301,805, consisting of cash and cash equivalents of $5,258,069, trade accounts receivable of $1,870,850, inventory of $2,830,047, and other current assets of $342,839. Also at June 30, 2020, the Company had current liabilities of $7,483,913, consisting of trade payables and accrued liabilities of $3,822,730, accrued interest of $44,259, deferred revenue of $227,821, line of credit of $2,000,000, lease liabilities – operating leases, current portion of $99,972, lease liabilities – financing leases, current portion of $49,666, current portion of contingent liabilities of $187,000, and current portion of notes payable of $1,052,465.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2020, the Company had cash used in operating activities of $2,135,462. Cash used in operations consisted of the Company’s consolidated net loss of $(4,908,744) plus non-cash compensation in the amount of $221,109, depreciation and amortization of $442,465, impairment of goodwill and intangible assets of $1,698,952; amortization of right-of-use asset of $107,271, amortization of prepaid loan fees of $6,246 and provision for doubtful accounts of $221,799. The Company’s cash position also increased due to a change in the components of current assets and liabilities in the amount of $75,440.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cash used in investing activities of $104,207 for the six months ended June 30, 2020, which consisted of cash paid for the acquisition of property and equipment of $90,207 and cash paid for website development of $14,000.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cash flow from financing activities of $3,531,688 for the six months ended June 30, 2020, which consisted of advances on a line of credit in the amount of $2,000,000 and proceeds from the PPP Loan of $1,650,221, partially offset by principal payments made on notes payable of $97,860 and principal payments on financing leases of $20,673.</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net working capital of $2,817,892 as of June 30, 2020. The Company used cash in operations during the six months ended June 30, 2020 in the amount of $2,135,462. This compares to cash used in operations of $858,947 during the six months ended June 30, 2019. The Company intends to continue to focus on increasing market share and cash flow from operations by focusing its sales activities on specific market segments and new product lines. As of June 30, 2020, we do not have any material long-term obligations other than those described in Notes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Plans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2020, in addition to our efforts to increase sales in our existing foodservice operations we plan to attempt to expand our business by expanding our focus to additional specialty foods markets in both the consumer and foodservice sector, exploring potential acquisition and partnership opportunities and continuing to extend our focus in the specialty food market through the growth of the Company’s existing sales channels and through a variety of additional sales channel relationships which are currently being explored. We are also currently exploring the introduction of a variety of new product categories and new product lines, including private label products and proprietary branded products, including products which could leverage the new capabilities of our facility in Mountaintop PA to leverage our existing foodservice and consumer customer base. In addition, the COVID-19 pandemic had accelerated shift towards e-commerce channels and we plan on continuing expanding our e-commerce activities through both our existing web properties, the launch or relaunch of additional web properties or e-commerce areas within our existing sites, leveraging our fulfillment capabilities to partner in both wholesale and direct to consumer in the e-commerce area. and the expansion of third-party partnerships or other strategic relationships within the e-commerce space.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Overall, the Company intends to expand its activities in the direct to consumer space and the overall consumer packaged goods (CPG) space through building the market share of igourmet LLC and Mouth Foods, Inc. and through leveraging its overall capabilities in the consumer space.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that they will necessarily yield positive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inflation has not had a material effect on the Company’s financial condition or results of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2019 which is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Securities and Exchange Commission’s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June 30, 2020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25, 2020, the Company issued 33,000 shares of common stock with a fair value of $0.54 to a former employee; the fair value of $18,000 was charged to operations during the year ended December 31, 2019.</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200" w:type="dxa"/>
            <w:vAlign w:val="bottom"/>
            <w:gridSpan w:val="4"/>
          </w:tcPr>
          <w:p>
            <w:pPr>
              <w:spacing w:after="0"/>
              <w:rPr>
                <w:rFonts w:ascii="Arial" w:cs="Arial" w:eastAsia="Arial" w:hAnsi="Arial"/>
                <w:sz w:val="18"/>
                <w:szCs w:val="18"/>
                <w:color w:val="0000EE"/>
                <w:w w:val="96"/>
              </w:rPr>
            </w:pPr>
            <w:hyperlink r:id="rId64">
              <w:r>
                <w:rPr>
                  <w:rFonts w:ascii="Arial" w:cs="Arial" w:eastAsia="Arial" w:hAnsi="Arial"/>
                  <w:sz w:val="18"/>
                  <w:szCs w:val="18"/>
                  <w:color w:val="0000EE"/>
                  <w:w w:val="96"/>
                </w:rPr>
                <w:t>Articles of Incorporation (incorporated by reference to exhibit 3.1 of the Company’s annual report on Form 10-KSB for the year ended</w:t>
              </w:r>
            </w:hyperlink>
          </w:p>
        </w:tc>
      </w:tr>
      <w:tr>
        <w:trPr>
          <w:trHeight w:val="196"/>
        </w:trPr>
        <w:tc>
          <w:tcPr>
            <w:tcW w:w="10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December 31, 2004 filed with the Securities and Exchange Commission on September 28, 2005).</w:t>
              </w:r>
            </w:hyperlink>
          </w:p>
        </w:tc>
        <w:tc>
          <w:tcPr>
            <w:tcW w:w="3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EE"/>
            </w:tcBorders>
            <w:gridSpan w:val="4"/>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Amended Bylaws of the Company (incorporated by reference to exhibit 3.2 of the Company’s annual report Form 10-K for the year ended</w:t>
              </w:r>
            </w:hyperlink>
          </w:p>
        </w:tc>
      </w:tr>
      <w:tr>
        <w:trPr>
          <w:trHeight w:val="196"/>
        </w:trPr>
        <w:tc>
          <w:tcPr>
            <w:tcW w:w="1040" w:type="dxa"/>
            <w:vAlign w:val="bottom"/>
          </w:tcPr>
          <w:p>
            <w:pPr>
              <w:spacing w:after="0"/>
              <w:rPr>
                <w:sz w:val="17"/>
                <w:szCs w:val="17"/>
                <w:color w:val="auto"/>
              </w:rPr>
            </w:pPr>
          </w:p>
        </w:tc>
        <w:tc>
          <w:tcPr>
            <w:tcW w:w="10200" w:type="dxa"/>
            <w:vAlign w:val="bottom"/>
            <w:gridSpan w:val="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December 31, 2010 filed with the Securities and Exchange Commission on March 16, 2011).</w:t>
              </w:r>
            </w:hyperlink>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6700" w:type="dxa"/>
            <w:vAlign w:val="bottom"/>
            <w:tcBorders>
              <w:top w:val="single" w:sz="8" w:color="0000EE"/>
            </w:tcBorders>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Section 302 Certification</w:t>
              </w:r>
            </w:hyperlink>
          </w:p>
        </w:tc>
        <w:tc>
          <w:tcPr>
            <w:tcW w:w="3500" w:type="dxa"/>
            <w:vAlign w:val="bottom"/>
            <w:gridSpan w:val="3"/>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302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648"/>
        </w:trPr>
        <w:tc>
          <w:tcPr>
            <w:tcW w:w="1040" w:type="dxa"/>
            <w:vAlign w:val="bottom"/>
          </w:tcPr>
          <w:p>
            <w:pPr>
              <w:spacing w:after="0"/>
              <w:rPr>
                <w:sz w:val="24"/>
                <w:szCs w:val="24"/>
                <w:color w:val="auto"/>
              </w:rPr>
            </w:pPr>
          </w:p>
        </w:tc>
        <w:tc>
          <w:tcPr>
            <w:tcW w:w="6700" w:type="dxa"/>
            <w:vAlign w:val="bottom"/>
          </w:tcPr>
          <w:p>
            <w:pPr>
              <w:ind w:left="45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9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9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Klepfish</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Chief Executive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August 17,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Sam Klepfish</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McDonald</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Principal Accounting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August 17,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McDonald</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29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McDonald,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1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 Principle Accounting Officer</w:t>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Innovative Food Holdings, Inc. and Subsidiaries (the “Company”) on Form 10-Q for the period ended June 30, 2020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7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June 30, 2020 as filed with the Securities and Exchange Commission on the date hereof (the “Report”), I, John McDonald, Principal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93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17,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4" Type="http://schemas.openxmlformats.org/officeDocument/2006/relationships/hyperlink" Target="http://www.sec.gov/Archives/edgar/data/312257/000114420405030172/v025859_ex3-1.htm" TargetMode="External"/><Relationship Id="rId65"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2020-08-18T05:18:14Z</dcterms:created>
  <dcterms:modified xsi:type="dcterms:W3CDTF">2020-08-18T05:18:14Z</dcterms:modified>
</cp:coreProperties>
</file>