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160020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left="3520" w:right="1900" w:hanging="1641"/>
        <w:spacing w:after="0" w:line="484" w:lineRule="auto"/>
        <w:tabs>
          <w:tab w:leader="none" w:pos="209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or15(d) of the Securities and Exchange Act of 1934 For the quarterly period ended </w:t>
      </w:r>
      <w:r>
        <w:rPr>
          <w:rFonts w:ascii="Arial" w:cs="Arial" w:eastAsia="Arial" w:hAnsi="Arial"/>
          <w:sz w:val="18"/>
          <w:szCs w:val="18"/>
          <w:b w:val="1"/>
          <w:bCs w:val="1"/>
          <w:u w:val="single" w:color="auto"/>
          <w:color w:val="auto"/>
        </w:rPr>
        <w:t>September 30, 2022</w:t>
      </w:r>
    </w:p>
    <w:p>
      <w:pPr>
        <w:spacing w:after="0" w:line="29" w:lineRule="exact"/>
        <w:rPr>
          <w:rFonts w:ascii="MS PGothic" w:cs="MS PGothic" w:eastAsia="MS PGothic" w:hAnsi="MS PGothic"/>
          <w:sz w:val="18"/>
          <w:szCs w:val="18"/>
          <w:color w:val="auto"/>
          <w:highlight w:val="black"/>
        </w:rPr>
      </w:pPr>
    </w:p>
    <w:p>
      <w:pPr>
        <w:ind w:left="2920" w:hanging="213"/>
        <w:spacing w:after="0"/>
        <w:tabs>
          <w:tab w:leader="none" w:pos="2920"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Exchange Act</w:t>
      </w:r>
    </w:p>
    <w:p>
      <w:pPr>
        <w:spacing w:after="0" w:line="212" w:lineRule="exact"/>
        <w:rPr>
          <w:sz w:val="24"/>
          <w:szCs w:val="24"/>
          <w:color w:val="auto"/>
        </w:rPr>
      </w:pPr>
    </w:p>
    <w:tbl>
      <w:tblPr>
        <w:tblLayout w:type="fixed"/>
        <w:tblInd w:w="30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w w:val="93"/>
              </w:rPr>
              <w:t>to</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780" w:type="dxa"/>
            <w:vAlign w:val="bottom"/>
            <w:gridSpan w:val="4"/>
          </w:tcPr>
          <w:p>
            <w:pPr>
              <w:ind w:left="1200"/>
              <w:spacing w:after="0"/>
              <w:rPr>
                <w:sz w:val="20"/>
                <w:szCs w:val="20"/>
                <w:color w:val="auto"/>
              </w:rPr>
            </w:pPr>
            <w:r>
              <w:rPr>
                <w:rFonts w:ascii="Arial" w:cs="Arial" w:eastAsia="Arial" w:hAnsi="Arial"/>
                <w:sz w:val="18"/>
                <w:szCs w:val="18"/>
                <w:b w:val="1"/>
                <w:bCs w:val="1"/>
                <w:color w:val="auto"/>
                <w:w w:val="90"/>
              </w:rPr>
              <w:t>Commission File Number: 0-9376</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INNOVATIVE FOOD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0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7"/>
              </w:rPr>
              <w:t>20-1167761</w:t>
            </w:r>
          </w:p>
        </w:tc>
      </w:tr>
      <w:tr>
        <w:trPr>
          <w:trHeight w:val="20"/>
        </w:trPr>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6580" w:type="dxa"/>
            <w:vAlign w:val="bottom"/>
            <w:gridSpan w:val="5"/>
          </w:tcPr>
          <w:p>
            <w:pPr>
              <w:jc w:val="center"/>
              <w:ind w:right="2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(IRS Employer I.D. No.)</w:t>
            </w:r>
          </w:p>
        </w:tc>
      </w:tr>
      <w:tr>
        <w:trPr>
          <w:trHeight w:val="414"/>
        </w:trPr>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28411 Race Track Rd.</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1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30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0"/>
              </w:rPr>
              <w:t>Bonita Springs, Florida 34135</w:t>
            </w: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37"/>
        </w:trPr>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(239) 596-0204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254635</wp:posOffset>
            </wp:positionV>
            <wp:extent cx="3256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628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 w:type="dxa"/>
            <w:vAlign w:val="bottom"/>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40" w:type="dxa"/>
            <w:vAlign w:val="bottom"/>
          </w:tcPr>
          <w:p>
            <w:pPr>
              <w:spacing w:after="0"/>
              <w:rPr>
                <w:sz w:val="20"/>
                <w:szCs w:val="20"/>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80" w:type="dxa"/>
            <w:vAlign w:val="bottom"/>
          </w:tcPr>
          <w:p>
            <w:pPr>
              <w:jc w:val="center"/>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40" w:type="dxa"/>
            <w:vAlign w:val="bottom"/>
          </w:tcPr>
          <w:p>
            <w:pPr>
              <w:spacing w:after="0"/>
              <w:rPr>
                <w:sz w:val="19"/>
                <w:szCs w:val="19"/>
                <w:color w:val="auto"/>
              </w:rPr>
            </w:pPr>
          </w:p>
        </w:tc>
        <w:tc>
          <w:tcPr>
            <w:tcW w:w="4240" w:type="dxa"/>
            <w:vAlign w:val="bottom"/>
          </w:tcPr>
          <w:p>
            <w:pPr>
              <w:jc w:val="center"/>
              <w:spacing w:after="0"/>
              <w:rPr>
                <w:sz w:val="20"/>
                <w:szCs w:val="20"/>
                <w:color w:val="auto"/>
              </w:rPr>
            </w:pPr>
            <w:r>
              <w:rPr>
                <w:rFonts w:ascii="Arial" w:cs="Arial" w:eastAsia="Arial" w:hAnsi="Arial"/>
                <w:sz w:val="18"/>
                <w:szCs w:val="18"/>
                <w:color w:val="auto"/>
              </w:rPr>
              <w:t>N/A</w:t>
            </w:r>
          </w:p>
        </w:tc>
      </w:tr>
    </w:tbl>
    <w:p>
      <w:pPr>
        <w:spacing w:after="0" w:line="187"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20"/>
                <w:szCs w:val="20"/>
                <w:color w:val="auto"/>
              </w:rPr>
            </w:pPr>
            <w:r>
              <w:rPr>
                <w:rFonts w:ascii="Arial" w:cs="Arial" w:eastAsia="Arial" w:hAnsi="Arial"/>
                <w:sz w:val="18"/>
                <w:szCs w:val="18"/>
                <w:color w:val="auto"/>
              </w:rPr>
              <w:t>(Check One):</w:t>
            </w:r>
          </w:p>
        </w:tc>
        <w:tc>
          <w:tcPr>
            <w:tcW w:w="3840" w:type="dxa"/>
            <w:vAlign w:val="bottom"/>
            <w:vMerge w:val="restart"/>
          </w:tcPr>
          <w:p>
            <w:pPr>
              <w:ind w:left="16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840" w:type="dxa"/>
            <w:vAlign w:val="bottom"/>
          </w:tcPr>
          <w:p>
            <w:pPr>
              <w:ind w:left="1660"/>
              <w:spacing w:after="0" w:line="207" w:lineRule="exact"/>
              <w:rPr>
                <w:sz w:val="20"/>
                <w:szCs w:val="20"/>
                <w:color w:val="auto"/>
              </w:rPr>
            </w:pPr>
            <w:r>
              <w:rPr>
                <w:rFonts w:ascii="Arial" w:cs="Arial" w:eastAsia="Arial" w:hAnsi="Arial"/>
                <w:sz w:val="18"/>
                <w:szCs w:val="18"/>
                <w:color w:val="auto"/>
                <w:w w:val="90"/>
              </w:rPr>
              <w:t xml:space="preserve">Smaller reporting company </w:t>
            </w:r>
            <w:r>
              <w:rPr>
                <w:rFonts w:ascii="MS PGothic" w:cs="MS PGothic" w:eastAsia="MS PGothic" w:hAnsi="MS PGothic"/>
                <w:sz w:val="18"/>
                <w:szCs w:val="18"/>
                <w:color w:val="auto"/>
                <w:w w:val="90"/>
              </w:rPr>
              <w:t>☒</w:t>
            </w:r>
          </w:p>
        </w:tc>
        <w:tc>
          <w:tcPr>
            <w:tcW w:w="0" w:type="dxa"/>
            <w:vAlign w:val="bottom"/>
          </w:tcPr>
          <w:p>
            <w:pPr>
              <w:spacing w:after="0"/>
              <w:rPr>
                <w:sz w:val="1"/>
                <w:szCs w:val="1"/>
                <w:color w:val="auto"/>
              </w:rPr>
            </w:pPr>
          </w:p>
        </w:tc>
      </w:tr>
      <w:tr>
        <w:trPr>
          <w:trHeight w:val="283"/>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Regulation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47,779,010 shares of common stock outstanding as of 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377" w:right="459" w:bottom="1440" w:gutter="0" w:footer="0" w:header="0"/>
        </w:sectPr>
      </w:pPr>
    </w:p>
    <w:bookmarkStart w:id="1" w:name="page2"/>
    <w:bookmarkEnd w:id="1"/>
    <w:p>
      <w:pPr>
        <w:ind w:left="3900"/>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TABLE OF CONTENTS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8860" w:type="dxa"/>
            <w:vAlign w:val="bottom"/>
            <w:gridSpan w:val="14"/>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860" w:type="dxa"/>
            <w:vAlign w:val="bottom"/>
            <w:vMerge w:val="continue"/>
          </w:tcPr>
          <w:p>
            <w:pPr>
              <w:spacing w:after="0"/>
              <w:rPr>
                <w:sz w:val="18"/>
                <w:szCs w:val="18"/>
                <w:color w:val="auto"/>
              </w:rPr>
            </w:pPr>
          </w:p>
        </w:tc>
        <w:tc>
          <w:tcPr>
            <w:tcW w:w="8860" w:type="dxa"/>
            <w:vAlign w:val="bottom"/>
            <w:gridSpan w:val="14"/>
            <w:vMerge w:val="continue"/>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14"/>
          </w:tcPr>
          <w:p>
            <w:pPr>
              <w:spacing w:after="0"/>
              <w:rPr>
                <w:sz w:val="20"/>
                <w:szCs w:val="20"/>
                <w:color w:val="auto"/>
              </w:rPr>
            </w:pPr>
            <w:r>
              <w:rPr>
                <w:rFonts w:ascii="Arial" w:cs="Arial" w:eastAsia="Arial" w:hAnsi="Arial"/>
                <w:sz w:val="18"/>
                <w:szCs w:val="18"/>
                <w:color w:val="0000EE"/>
              </w:rPr>
              <w:t>Consolidated Financial Statements (unaudited)</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3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Consolidated Balance Sheets</w:t>
            </w:r>
          </w:p>
        </w:tc>
        <w:tc>
          <w:tcPr>
            <w:tcW w:w="550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8860" w:type="dxa"/>
            <w:vAlign w:val="bottom"/>
            <w:gridSpan w:val="14"/>
          </w:tcPr>
          <w:p>
            <w:pPr>
              <w:spacing w:after="0" w:line="196" w:lineRule="exact"/>
              <w:rPr>
                <w:sz w:val="20"/>
                <w:szCs w:val="20"/>
                <w:color w:val="auto"/>
              </w:rPr>
            </w:pPr>
            <w:r>
              <w:rPr>
                <w:rFonts w:ascii="Arial" w:cs="Arial" w:eastAsia="Arial" w:hAnsi="Arial"/>
                <w:sz w:val="18"/>
                <w:szCs w:val="18"/>
                <w:color w:val="0000EE"/>
              </w:rPr>
              <w:t>Consolidated Statements of Operations</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0"/>
              </w:rPr>
              <w:t>Consolidated Statement of Stockholders’ Equity</w:t>
            </w:r>
          </w:p>
        </w:tc>
        <w:tc>
          <w:tcPr>
            <w:tcW w:w="540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860" w:type="dxa"/>
            <w:vAlign w:val="bottom"/>
            <w:gridSpan w:val="14"/>
          </w:tcPr>
          <w:p>
            <w:pPr>
              <w:spacing w:after="0" w:line="196" w:lineRule="exact"/>
              <w:rPr>
                <w:sz w:val="20"/>
                <w:szCs w:val="20"/>
                <w:color w:val="auto"/>
              </w:rPr>
            </w:pPr>
            <w:r>
              <w:rPr>
                <w:rFonts w:ascii="Arial" w:cs="Arial" w:eastAsia="Arial" w:hAnsi="Arial"/>
                <w:sz w:val="18"/>
                <w:szCs w:val="18"/>
                <w:color w:val="0000EE"/>
              </w:rPr>
              <w:t>Consolidated Statements of Cash Flows</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42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8"/>
              </w:rPr>
              <w:t>Condensed Notes to the Consolidated Financial Statements</w:t>
            </w:r>
          </w:p>
        </w:tc>
        <w:tc>
          <w:tcPr>
            <w:tcW w:w="460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8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1"/>
              </w:rPr>
              <w:t>Management’s Discussion and Analysis of Financial Condition and Results of Operations (including cautionary statement)</w:t>
            </w:r>
          </w:p>
        </w:tc>
        <w:tc>
          <w:tcPr>
            <w:tcW w:w="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860" w:type="dxa"/>
            <w:vAlign w:val="bottom"/>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860" w:type="dxa"/>
            <w:vAlign w:val="bottom"/>
            <w:gridSpan w:val="14"/>
          </w:tcPr>
          <w:p>
            <w:pPr>
              <w:spacing w:after="0"/>
              <w:rPr>
                <w:sz w:val="20"/>
                <w:szCs w:val="20"/>
                <w:color w:val="auto"/>
              </w:rPr>
            </w:pPr>
            <w:r>
              <w:rPr>
                <w:rFonts w:ascii="Arial" w:cs="Arial" w:eastAsia="Arial" w:hAnsi="Arial"/>
                <w:sz w:val="18"/>
                <w:szCs w:val="18"/>
                <w:b w:val="1"/>
                <w:bCs w:val="1"/>
                <w:color w:val="auto"/>
              </w:rPr>
              <w:t>OTHER INFORMATION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8860" w:type="dxa"/>
            <w:vAlign w:val="bottom"/>
            <w:gridSpan w:val="14"/>
          </w:tcPr>
          <w:p>
            <w:pPr>
              <w:spacing w:after="0"/>
              <w:rPr>
                <w:sz w:val="20"/>
                <w:szCs w:val="20"/>
                <w:color w:val="auto"/>
              </w:rPr>
            </w:pPr>
            <w:r>
              <w:rPr>
                <w:rFonts w:ascii="Arial" w:cs="Arial" w:eastAsia="Arial" w:hAnsi="Arial"/>
                <w:sz w:val="18"/>
                <w:szCs w:val="18"/>
                <w:color w:val="0000EE"/>
              </w:rPr>
              <w:t>Legal Proceedings</w:t>
            </w: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860" w:type="dxa"/>
            <w:vAlign w:val="bottom"/>
            <w:gridSpan w:val="14"/>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452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8860" w:type="dxa"/>
            <w:vAlign w:val="bottom"/>
            <w:gridSpan w:val="14"/>
          </w:tcPr>
          <w:p>
            <w:pPr>
              <w:spacing w:after="0" w:line="196" w:lineRule="exact"/>
              <w:rPr>
                <w:sz w:val="20"/>
                <w:szCs w:val="20"/>
                <w:color w:val="auto"/>
              </w:rPr>
            </w:pPr>
            <w:r>
              <w:rPr>
                <w:rFonts w:ascii="Arial" w:cs="Arial" w:eastAsia="Arial" w:hAnsi="Arial"/>
                <w:sz w:val="18"/>
                <w:szCs w:val="18"/>
                <w:color w:val="0000EE"/>
              </w:rPr>
              <w:t>Mine Safety Disclosures</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Other Information</w:t>
            </w:r>
          </w:p>
        </w:tc>
        <w:tc>
          <w:tcPr>
            <w:tcW w:w="7100" w:type="dxa"/>
            <w:vAlign w:val="bottom"/>
            <w:gridSpan w:val="10"/>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gridSpan w:val="2"/>
          </w:tcPr>
          <w:p>
            <w:pPr>
              <w:spacing w:after="0"/>
              <w:rPr>
                <w:sz w:val="17"/>
                <w:szCs w:val="17"/>
                <w:color w:val="auto"/>
              </w:rPr>
            </w:pPr>
          </w:p>
        </w:tc>
        <w:tc>
          <w:tcPr>
            <w:tcW w:w="7540" w:type="dxa"/>
            <w:vAlign w:val="bottom"/>
            <w:gridSpan w:val="1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860" w:type="dxa"/>
            <w:vAlign w:val="bottom"/>
            <w:gridSpan w:val="14"/>
          </w:tcPr>
          <w:p>
            <w:pPr>
              <w:spacing w:after="0" w:line="196" w:lineRule="exact"/>
              <w:rPr>
                <w:sz w:val="20"/>
                <w:szCs w:val="20"/>
                <w:color w:val="auto"/>
              </w:rPr>
            </w:pPr>
            <w:r>
              <w:rPr>
                <w:rFonts w:ascii="Arial" w:cs="Arial" w:eastAsia="Arial" w:hAnsi="Arial"/>
                <w:sz w:val="18"/>
                <w:szCs w:val="18"/>
                <w:color w:val="0000EE"/>
              </w:rPr>
              <w:t>Signatures</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554"/>
        </w:trPr>
        <w:tc>
          <w:tcPr>
            <w:tcW w:w="86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53"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gridSpan w:val="2"/>
            <w:vMerge w:val="restart"/>
          </w:tcPr>
          <w:p>
            <w:pPr>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2,752,404</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6,122,671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4,670,645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3,256,764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2,937,098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3,109,984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336,350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10,696,497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12,803,526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8,008,057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8,186,227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Investments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286,725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286,725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Right of use assets, operating leases, net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232,381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Right of use assets, finance leases, net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603,803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669,039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amortizable intangible assets, net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Tradenames and other unamortizable intangible assets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1,532,822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1,532,822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21,337,573</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23,782,938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6,070,249</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Accrued interest, current portion</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18,008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1,094,649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1,631,406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Line of Credit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2,014,333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Notes payable - current portion, net of discount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5,667,485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412,961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Lease liability - operating leases, current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63,569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liability - finance leases, current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Contingent liability - current portion</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15,304,111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10,197,532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Lease liability - operating leases, non-current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Lease liability - finance leases, non-current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382,286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499,240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Contingent liability - long-term</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Note payable - long term portion, net</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5,409,172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15,901,671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16,372,837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Commitments &amp; Contingencies (see note 17)</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w w:val="94"/>
              </w:rPr>
              <w:t>Common stock: $0.0001 par value; 500,000,000 shares authorized; 50,616,590 and 48,879,331 shares issued,</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w w:val="92"/>
              </w:rPr>
              <w:t>and 47,779,010 and 46,041,751 shares outstanding at September 30, 2022 and December 31, 2021, respectively</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42,132,756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41,662,710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w w:val="95"/>
              </w:rPr>
              <w:t>Treasury stock: 2,623,171 and 2,623,171 shares outstanding at September 30, 2022 and December 31, 2021,</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respectively.</w:t>
            </w: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(1,141,370)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(1,141,370)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deficit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(35,560,541)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(33,116,124)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tcPr>
          <w:p>
            <w:pPr>
              <w:ind w:left="30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5,435,902</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7,410,101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0" w:type="dxa"/>
            <w:vAlign w:val="bottom"/>
            <w:gridSpan w:val="2"/>
          </w:tcPr>
          <w:p>
            <w:pPr>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21,337,573</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23,782,938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53"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1"/>
              </w:rPr>
              <w:t>Innovative Food Holdings,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2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0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1"/>
              </w:rPr>
              <w:t>(unaudited)</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For the Three</w:t>
            </w:r>
          </w:p>
        </w:tc>
        <w:tc>
          <w:tcPr>
            <w:tcW w:w="8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the Three</w:t>
            </w:r>
          </w:p>
        </w:tc>
        <w:tc>
          <w:tcPr>
            <w:tcW w:w="80" w:type="dxa"/>
            <w:vAlign w:val="bottom"/>
          </w:tcPr>
          <w:p>
            <w:pPr>
              <w:spacing w:after="0"/>
              <w:rPr>
                <w:sz w:val="24"/>
                <w:szCs w:val="24"/>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For the Nine</w:t>
            </w:r>
          </w:p>
        </w:tc>
        <w:tc>
          <w:tcPr>
            <w:tcW w:w="80" w:type="dxa"/>
            <w:vAlign w:val="bottom"/>
          </w:tcPr>
          <w:p>
            <w:pPr>
              <w:spacing w:after="0"/>
              <w:rPr>
                <w:sz w:val="24"/>
                <w:szCs w:val="24"/>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For the 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September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September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September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20,059,982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15,207,353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56,226,249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41,362,816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15,546,132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11,427,343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43,537,570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30,471,401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4,513,850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12,688,679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4,320,981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4,998,673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15,015,456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14,512,803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gridSpan w:val="2"/>
          </w:tcPr>
          <w:p>
            <w:pPr>
              <w:ind w:left="300"/>
              <w:spacing w:after="0"/>
              <w:rPr>
                <w:sz w:val="20"/>
                <w:szCs w:val="20"/>
                <w:color w:val="auto"/>
              </w:rPr>
            </w:pPr>
            <w:r>
              <w:rPr>
                <w:rFonts w:ascii="Arial" w:cs="Arial" w:eastAsia="Arial" w:hAnsi="Arial"/>
                <w:sz w:val="18"/>
                <w:szCs w:val="18"/>
                <w:color w:val="auto"/>
              </w:rPr>
              <w:t>Total operating expenses</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4,320,981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4,998,673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15,015,456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14,512,803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Operating (loss) income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192,869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(1,218,663)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(2,326,777)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(3,621,388)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investment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Gain on interest rate swap</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forgiveness of debt</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(40,556)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leasing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(183,908)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(82,029)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(379,253)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(257,889)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Total other income (expense)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(183,123)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1,585,689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(117,640)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before taxes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(2,444,417)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(2,414,369)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367,026</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(2,444,417)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(2,414,369)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per share - basic</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per share - diluted</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2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Weighted average shares outstanding - basic</w:t>
            </w:r>
          </w:p>
        </w:tc>
        <w:tc>
          <w:tcPr>
            <w:tcW w:w="2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47,390,976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40,253,543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46,838,377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37,254,290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80" w:type="dxa"/>
            <w:vAlign w:val="bottom"/>
            <w:gridSpan w:val="2"/>
          </w:tcPr>
          <w:p>
            <w:pPr>
              <w:spacing w:after="0"/>
              <w:rPr>
                <w:sz w:val="17"/>
                <w:szCs w:val="17"/>
                <w:color w:val="auto"/>
              </w:rPr>
            </w:pPr>
          </w:p>
        </w:tc>
        <w:tc>
          <w:tcPr>
            <w:tcW w:w="2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Weighted average shares outstanding - diluted</w:t>
            </w:r>
          </w:p>
        </w:tc>
        <w:tc>
          <w:tcPr>
            <w:tcW w:w="2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47,390,976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40,253,543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46,838,377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37,254,290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00" w:type="dxa"/>
            <w:vAlign w:val="bottom"/>
            <w:gridSpan w:val="9"/>
          </w:tcPr>
          <w:p>
            <w:pPr>
              <w:jc w:val="center"/>
              <w:ind w:left="1210"/>
              <w:spacing w:after="0"/>
              <w:rPr>
                <w:sz w:val="20"/>
                <w:szCs w:val="20"/>
                <w:color w:val="auto"/>
              </w:rPr>
            </w:pPr>
            <w:r>
              <w:rPr>
                <w:rFonts w:ascii="Arial" w:cs="Arial" w:eastAsia="Arial" w:hAnsi="Arial"/>
                <w:sz w:val="18"/>
                <w:szCs w:val="18"/>
                <w:color w:val="auto"/>
                <w:w w:val="88"/>
              </w:rPr>
              <w:t>See condensed notes to these unaudited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0" w:type="dxa"/>
            <w:vAlign w:val="bottom"/>
          </w:tcPr>
          <w:p>
            <w:pPr>
              <w:jc w:val="center"/>
              <w:ind w:left="1390"/>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08"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and Nine Months Ended September 30,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7"/>
              </w:rPr>
              <w:t>Additional</w:t>
            </w:r>
          </w:p>
        </w:tc>
        <w:tc>
          <w:tcPr>
            <w:tcW w:w="1920" w:type="dxa"/>
            <w:vAlign w:val="bottom"/>
            <w:gridSpan w:val="4"/>
            <w:vMerge w:val="restart"/>
          </w:tcPr>
          <w:p>
            <w:pPr>
              <w:jc w:val="right"/>
              <w:ind w:right="500"/>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Paid-in</w:t>
            </w:r>
          </w:p>
        </w:tc>
        <w:tc>
          <w:tcPr>
            <w:tcW w:w="1920" w:type="dxa"/>
            <w:vAlign w:val="bottom"/>
            <w:gridSpan w:val="4"/>
            <w:vMerge w:val="continue"/>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7"/>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8"/>
              </w:rPr>
              <w:t>Value</w:t>
            </w:r>
          </w:p>
        </w:tc>
        <w:tc>
          <w:tcPr>
            <w:tcW w:w="22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Capital</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38,800,629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$ 37,730,475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2,623,171</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(1,141,370)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7"/>
              </w:rPr>
              <w:t>$ (35,181,188)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1,411,794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Fair value of vested stock and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335,252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160,718</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160,752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Common stock sold for cash, net of costs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9,375,000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3,579,434</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3,580,372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6"/>
                <w:szCs w:val="16"/>
                <w:color w:val="auto"/>
                <w:w w:val="98"/>
              </w:rPr>
              <w:t>Net income for the three months ended September 30,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367,026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367,026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860" w:type="dxa"/>
            <w:vAlign w:val="bottom"/>
            <w:gridSpan w:val="2"/>
          </w:tcPr>
          <w:p>
            <w:pPr>
              <w:spacing w:after="0"/>
              <w:rPr>
                <w:sz w:val="20"/>
                <w:szCs w:val="20"/>
                <w:color w:val="auto"/>
              </w:rPr>
            </w:pPr>
            <w:r>
              <w:rPr>
                <w:rFonts w:ascii="Arial" w:cs="Arial" w:eastAsia="Arial" w:hAnsi="Arial"/>
                <w:sz w:val="16"/>
                <w:szCs w:val="16"/>
                <w:color w:val="auto"/>
              </w:rPr>
              <w:t>2021</w:t>
            </w:r>
          </w:p>
        </w:tc>
        <w:tc>
          <w:tcPr>
            <w:tcW w:w="8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September 30, 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48,510,881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$ 41,470,627</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2,623,171</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(1,141,370)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7"/>
              </w:rPr>
              <w:t>$ (34,814,162)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5,519,944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 June 30, 2022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50,014,147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41,980,090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2,623,171</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(1,141,370)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(35,570,287)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5,273,430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Fair value of vested stock and stock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602,443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152,666</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w w:val="98"/>
              </w:rPr>
              <w:t>Net income for the three months ended September 30,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9,746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vMerge w:val="continue"/>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Balance - September 30, 2022</w:t>
            </w:r>
          </w:p>
        </w:tc>
        <w:tc>
          <w:tcPr>
            <w:tcW w:w="840" w:type="dxa"/>
            <w:vAlign w:val="bottom"/>
          </w:tcPr>
          <w:p>
            <w:pPr>
              <w:jc w:val="right"/>
              <w:spacing w:after="0"/>
              <w:rPr>
                <w:sz w:val="20"/>
                <w:szCs w:val="20"/>
                <w:color w:val="auto"/>
              </w:rPr>
            </w:pPr>
            <w:r>
              <w:rPr>
                <w:rFonts w:ascii="Arial" w:cs="Arial" w:eastAsia="Arial" w:hAnsi="Arial"/>
                <w:sz w:val="16"/>
                <w:szCs w:val="16"/>
                <w:color w:val="auto"/>
              </w:rPr>
              <w:t>50,616,590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$ 42,132,756</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2,623,171</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 (1,141,370)</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w w:val="97"/>
              </w:rPr>
              <w:t>$ (35,560,541)</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5,435,902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b w:val="1"/>
                <w:bCs w:val="1"/>
                <w:color w:val="auto"/>
              </w:rPr>
              <w:t>Balance - December 31, 2020</w:t>
            </w:r>
          </w:p>
        </w:tc>
        <w:tc>
          <w:tcPr>
            <w:tcW w:w="840" w:type="dxa"/>
            <w:vAlign w:val="bottom"/>
          </w:tcPr>
          <w:p>
            <w:pPr>
              <w:jc w:val="right"/>
              <w:spacing w:after="0"/>
              <w:rPr>
                <w:sz w:val="20"/>
                <w:szCs w:val="20"/>
                <w:color w:val="auto"/>
              </w:rPr>
            </w:pPr>
            <w:r>
              <w:rPr>
                <w:rFonts w:ascii="Arial" w:cs="Arial" w:eastAsia="Arial" w:hAnsi="Arial"/>
                <w:sz w:val="16"/>
                <w:szCs w:val="16"/>
                <w:color w:val="auto"/>
              </w:rPr>
              <w:t>38,209,060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3,817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$ 37,415,155</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2,623,171</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 (1,141,370)</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w w:val="97"/>
              </w:rPr>
              <w:t>$ (32,399,793)</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3,877,809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Fair value of vested stock and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926,821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476,038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476,132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Common stock sold for cash, net of costs</w:t>
            </w:r>
          </w:p>
        </w:tc>
        <w:tc>
          <w:tcPr>
            <w:tcW w:w="840" w:type="dxa"/>
            <w:vAlign w:val="bottom"/>
          </w:tcPr>
          <w:p>
            <w:pPr>
              <w:jc w:val="right"/>
              <w:spacing w:after="0"/>
              <w:rPr>
                <w:sz w:val="20"/>
                <w:szCs w:val="20"/>
                <w:color w:val="auto"/>
              </w:rPr>
            </w:pPr>
            <w:r>
              <w:rPr>
                <w:rFonts w:ascii="Arial" w:cs="Arial" w:eastAsia="Arial" w:hAnsi="Arial"/>
                <w:sz w:val="16"/>
                <w:szCs w:val="16"/>
                <w:color w:val="auto"/>
              </w:rPr>
              <w:t>9,375,000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938</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3,579,434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3,580,372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w w:val="96"/>
              </w:rPr>
              <w:t>Net loss for the nine months ended September 30, 2021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(2,414,369)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(2,414,369)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Balance - September 30, 2021</w:t>
            </w:r>
          </w:p>
        </w:tc>
        <w:tc>
          <w:tcPr>
            <w:tcW w:w="840" w:type="dxa"/>
            <w:vAlign w:val="bottom"/>
          </w:tcPr>
          <w:p>
            <w:pPr>
              <w:jc w:val="right"/>
              <w:spacing w:after="0"/>
              <w:rPr>
                <w:sz w:val="20"/>
                <w:szCs w:val="20"/>
                <w:color w:val="auto"/>
              </w:rPr>
            </w:pPr>
            <w:r>
              <w:rPr>
                <w:rFonts w:ascii="Arial" w:cs="Arial" w:eastAsia="Arial" w:hAnsi="Arial"/>
                <w:sz w:val="16"/>
                <w:szCs w:val="16"/>
                <w:color w:val="auto"/>
              </w:rPr>
              <w:t>48,510,881</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4,849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$ 41,470,627</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2,623,171</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 (1,141,370)</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w w:val="97"/>
              </w:rPr>
              <w:t>$ (34,814,162)</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5,519,944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b w:val="1"/>
                <w:bCs w:val="1"/>
                <w:color w:val="auto"/>
              </w:rPr>
              <w:t>Balance - December 31, 2021</w:t>
            </w:r>
          </w:p>
        </w:tc>
        <w:tc>
          <w:tcPr>
            <w:tcW w:w="840" w:type="dxa"/>
            <w:vAlign w:val="bottom"/>
          </w:tcPr>
          <w:p>
            <w:pPr>
              <w:jc w:val="right"/>
              <w:spacing w:after="0"/>
              <w:rPr>
                <w:sz w:val="20"/>
                <w:szCs w:val="20"/>
                <w:color w:val="auto"/>
              </w:rPr>
            </w:pPr>
            <w:r>
              <w:rPr>
                <w:rFonts w:ascii="Arial" w:cs="Arial" w:eastAsia="Arial" w:hAnsi="Arial"/>
                <w:sz w:val="16"/>
                <w:szCs w:val="16"/>
                <w:color w:val="auto"/>
              </w:rPr>
              <w:t>48,879,331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4,885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41,662,710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2,623,171</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(1,141,370)</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(33,116,124)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7,410,101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Fair value of vested stock and stock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1,560,957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458,023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458,178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Offering expenses for stock previously sold for cash</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16"/>
                <w:szCs w:val="16"/>
                <w:color w:val="auto"/>
              </w:rPr>
              <w:t>(50,000)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issued for 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176,302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59,931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Fair value of options issued to consultant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2,092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w w:val="96"/>
              </w:rPr>
              <w:t>Net loss for the nine months ended September 30, 2022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(2,444,417)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(2,444,417)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Balance - September 30, 2022</w:t>
            </w:r>
          </w:p>
        </w:tc>
        <w:tc>
          <w:tcPr>
            <w:tcW w:w="840" w:type="dxa"/>
            <w:vAlign w:val="bottom"/>
          </w:tcPr>
          <w:p>
            <w:pPr>
              <w:jc w:val="right"/>
              <w:spacing w:after="0"/>
              <w:rPr>
                <w:sz w:val="20"/>
                <w:szCs w:val="20"/>
                <w:color w:val="auto"/>
              </w:rPr>
            </w:pPr>
            <w:r>
              <w:rPr>
                <w:rFonts w:ascii="Arial" w:cs="Arial" w:eastAsia="Arial" w:hAnsi="Arial"/>
                <w:sz w:val="16"/>
                <w:szCs w:val="16"/>
                <w:color w:val="auto"/>
              </w:rPr>
              <w:t>50,616,590</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$ 42,132,756</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2,623,171</w:t>
            </w:r>
          </w:p>
        </w:tc>
        <w:tc>
          <w:tcPr>
            <w:tcW w:w="1160" w:type="dxa"/>
            <w:vAlign w:val="bottom"/>
            <w:gridSpan w:val="3"/>
          </w:tcPr>
          <w:p>
            <w:pPr>
              <w:jc w:val="right"/>
              <w:ind w:right="80"/>
              <w:spacing w:after="0"/>
              <w:rPr>
                <w:sz w:val="20"/>
                <w:szCs w:val="20"/>
                <w:color w:val="auto"/>
              </w:rPr>
            </w:pPr>
            <w:r>
              <w:rPr>
                <w:rFonts w:ascii="Arial" w:cs="Arial" w:eastAsia="Arial" w:hAnsi="Arial"/>
                <w:sz w:val="16"/>
                <w:szCs w:val="16"/>
                <w:color w:val="auto"/>
              </w:rPr>
              <w:t>$ (1,141,370)</w:t>
            </w: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w w:val="97"/>
              </w:rPr>
              <w:t>$ (35,560,541)</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5,435,902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For the Nine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For the Nine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Months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Months Ended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gridSpan w:val="2"/>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(2,444,417)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(2,414,369)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Gain on forgiveness of debt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(1,665,818)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Impairment of investment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209,850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423,844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407,704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Amortization of right-of-use asset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50,821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76,005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prepaid loan fees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70,618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520,218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476,132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extinguishment of debt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Provision for doubtful accounts</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11,493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32,443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Changes in assets and liabilities: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(1,425,374)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(1,254,764)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Inventory and other current assets, net</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150,643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869,165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 and accrued liabilities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(747,187)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(536,757)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(1,861,665)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Contingent liabilities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Arial" w:cs="Arial" w:eastAsia="Arial" w:hAnsi="Arial"/>
                <w:sz w:val="16"/>
                <w:szCs w:val="16"/>
                <w:color w:val="auto"/>
              </w:rPr>
              <w:t>Operating lease liability</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(50,821)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(76,005)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(2,802,762)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(5,947,141)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Acquisition of property and equipment</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(107,045)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(14,812)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(107,045)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(14,812)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Payment of offering costs for stock previously issued</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common stock, net of costs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Proceeds from Payroll Protection Plan Loan</w:t>
            </w: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1,748,414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Principal payments on debt</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(169,696)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(299,924)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Arial" w:cs="Arial" w:eastAsia="Arial" w:hAnsi="Arial"/>
                <w:sz w:val="16"/>
                <w:szCs w:val="16"/>
                <w:color w:val="auto"/>
              </w:rPr>
              <w:t>Principal payments financing leases</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(130,459)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(108,528)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debt financing</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(110,305)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(460,460)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4,920,334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Decrease in cash and cash equivalents</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(3,370,267)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(1,041,619)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6,122,671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5,060,015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2,752,404</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4,018,396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Supplemental disclosure of cash flow information:</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Cash paid during the period for:</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187,090</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250,967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6"/>
                <w:szCs w:val="16"/>
                <w:color w:val="auto"/>
              </w:rPr>
              <w:t>Increase in right of use assets &amp; liabilities – new leases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88,359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Decrease in right of use assets &amp; liabilities – cancellation of lease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13,216</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gridSpan w:val="2"/>
          </w:tcPr>
          <w:p>
            <w:pPr>
              <w:spacing w:after="0"/>
              <w:rPr>
                <w:sz w:val="20"/>
                <w:szCs w:val="20"/>
                <w:color w:val="auto"/>
              </w:rPr>
            </w:pPr>
            <w:r>
              <w:rPr>
                <w:rFonts w:ascii="Arial" w:cs="Arial" w:eastAsia="Arial" w:hAnsi="Arial"/>
                <w:sz w:val="16"/>
                <w:szCs w:val="16"/>
                <w:color w:val="auto"/>
              </w:rPr>
              <w:t>Finance lease for fixed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42,500</w:t>
            </w:r>
          </w:p>
        </w:tc>
        <w:tc>
          <w:tcPr>
            <w:tcW w:w="14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21,885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Debt to Fifth Third Bank paid directly by Maple Mark Bank</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7,695,866</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gridSpan w:val="2"/>
          </w:tcPr>
          <w:p>
            <w:pPr>
              <w:spacing w:after="0"/>
              <w:rPr>
                <w:sz w:val="20"/>
                <w:szCs w:val="20"/>
                <w:color w:val="auto"/>
              </w:rPr>
            </w:pPr>
            <w:r>
              <w:rPr>
                <w:rFonts w:ascii="Arial" w:cs="Arial" w:eastAsia="Arial" w:hAnsi="Arial"/>
                <w:sz w:val="16"/>
                <w:szCs w:val="16"/>
                <w:color w:val="auto"/>
              </w:rPr>
              <w:t>Reclassification of accounts receivable to other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22,380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condensed notes to these unaudited consolidated financial statements.</w:t>
      </w:r>
    </w:p>
    <w:p>
      <w:pPr>
        <w:sectPr>
          <w:pgSz w:w="11900" w:h="16838" w:orient="portrait"/>
          <w:cols w:equalWidth="0" w:num="1">
            <w:col w:w="10960"/>
          </w:cols>
          <w:pgMar w:left="460" w:top="125" w:right="47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INNOVATIVE FOOD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The accompanying unaudited interim consolidated financial statements of Innovative Food Holdings, Inc., and its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by the Company,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2021. In the opinion of management, the interim unaudited consolidated financial statements reflect all adjustments, including normal recurring adjustments, necessary for fair presentation of the interim periods presented. The results of the operations for the three and nine months ended September 30, 2022 are not necessarily indicative of the results of operations to be expected for the full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NATURE OF ACTIVITIES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Activity</w:t>
      </w:r>
    </w:p>
    <w:p>
      <w:pPr>
        <w:spacing w:after="0" w:line="22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Our business is currently conducted by our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or “Mouth”),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8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FII, through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GFG is focused on expanding the Company’s program offerings to additional specialty foodservice customers.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IFP was formed to hold the Company’s real estate holdings including the recently acquired facility in Mountaintop, Pennsylvania.</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igourmet has been in the business of providing D2C specialty food via e-commerce through its own website at www.igourmet.com and through other channels such as www.amazon.com, www.ebay.com, and www.walmart.com. In addition, igourmet.com offers a line of B2B specialty foodservice items. Products are primarily shipped directly from igourmet.com’s approximately 100,000 square feet warehouse in Pennsylvania via igourmet.com owned trucks and via third party carrier directly to thousands of customers nationwide.</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Mouth.com (www.mouth.com) is an online retailer of specialty foods, monthly subscription boxes and curated gift boxes to thousands of consumers and corporate customers across the United States. Mouth sources high quality specialty foods crafted in the US by independent and small batch makers, and expertly curates them into standout food gifts for both consumers and corporate customers. Mouth also has launched a private label brand, including several award-winning products.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 Innovations focus is to leverage acquired assets to expand the Company’s subscription-based e-commerce business activities and to launch new businesses leveraging the Company’s e-commerce platform.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Plant Innovations is focused on plant-based D2C brands and online retail within the e-commerce space.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 Innovations provides 3rd party warehouse and fulfillment services out of its location at the Company’s PA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these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Innovative Food Holdings, Inc., and its wholly owned operating subsidiaries, Artisan, FII, FNM, OFB, GFG, GFW, Gourmeting, Haley, Oasis, Innovative Gourmet, Food Funding, IFP, L Innovations, M Innovations, P Innovations, MIF, M Foods, PlantBelly, Plant Innovations, IFI, IGP, and Gourmet. All material intercompany transactions have been eliminated upon consolidation of these entities.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September 30, 2022 and December 31, 2021, trade receivables from the Company’s largest customer amounted to 27% and 28%, respectively, of total trade receivables. During the nine months ended September 30, 2022 and 2021, sales from the Company’s largest customer amounted to 51% and 48% of total sales, respectively.</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maintains cash balances in excess of Federal Deposit Insurance Corporation limits. At September 30, 2022 and December 31, 2021, the total cash in excess of these limits was $403,255 and $4,555,032,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8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For revenue from product sales, the Company recognizes revenue in accordance with Financial Accounting Standards Board (“FASB”) Accounting Standards Codification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Revenue</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deferred revenue as reported on the Company’s consolidated balance sheets:</w:t>
      </w: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2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payments received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(2,376,151)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Balance as of March 31, 2021 (unaudited)</w:t>
            </w:r>
          </w:p>
        </w:tc>
        <w:tc>
          <w:tcPr>
            <w:tcW w:w="2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1,133,411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payments received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2"/>
          </w:tcPr>
          <w:p>
            <w:pPr>
              <w:spacing w:after="0"/>
              <w:rPr>
                <w:sz w:val="20"/>
                <w:szCs w:val="20"/>
                <w:color w:val="auto"/>
              </w:rPr>
            </w:pPr>
            <w:r>
              <w:rPr>
                <w:rFonts w:ascii="Arial" w:cs="Arial" w:eastAsia="Arial" w:hAnsi="Arial"/>
                <w:sz w:val="18"/>
                <w:szCs w:val="18"/>
                <w:color w:val="auto"/>
              </w:rPr>
              <w:t>Balance as of June 30, 2021 (unaudited)</w:t>
            </w:r>
          </w:p>
        </w:tc>
        <w:tc>
          <w:tcPr>
            <w:tcW w:w="2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980,535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received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sales recognized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(325,621)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2021 (unaudited)</w:t>
            </w:r>
          </w:p>
        </w:tc>
        <w:tc>
          <w:tcPr>
            <w:tcW w:w="2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1,056,011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2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payments received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sales recognized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gridSpan w:val="2"/>
          </w:tcPr>
          <w:p>
            <w:pPr>
              <w:spacing w:after="0"/>
              <w:rPr>
                <w:sz w:val="20"/>
                <w:szCs w:val="20"/>
                <w:color w:val="auto"/>
              </w:rPr>
            </w:pPr>
            <w:r>
              <w:rPr>
                <w:rFonts w:ascii="Arial" w:cs="Arial" w:eastAsia="Arial" w:hAnsi="Arial"/>
                <w:sz w:val="18"/>
                <w:szCs w:val="18"/>
                <w:color w:val="auto"/>
              </w:rPr>
              <w:t>Balance as of March 31, 2022 (unaudited)</w:t>
            </w:r>
          </w:p>
        </w:tc>
        <w:tc>
          <w:tcPr>
            <w:tcW w:w="2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1,250,944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received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sales recognized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(128,686)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 (unaudited)</w:t>
            </w:r>
          </w:p>
        </w:tc>
        <w:tc>
          <w:tcPr>
            <w:tcW w:w="2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1,222,247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Cash payments received</w:t>
            </w:r>
          </w:p>
        </w:tc>
        <w:tc>
          <w:tcPr>
            <w:tcW w:w="1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sales recognized</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(513,231)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2022 (unaudited)</w:t>
            </w:r>
          </w:p>
        </w:tc>
        <w:tc>
          <w:tcPr>
            <w:tcW w:w="2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disaggregation of revenue for the three and nine months ended September 30, 2022 and 2021:</w:t>
      </w:r>
    </w:p>
    <w:p>
      <w:pPr>
        <w:sectPr>
          <w:pgSz w:w="11900" w:h="16838" w:orient="portrait"/>
          <w:cols w:equalWidth="0" w:num="1">
            <w:col w:w="9999"/>
          </w:cols>
          <w:pgMar w:left="46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Specialty Foodservice</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E-Commerce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National Brand Management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Logistics</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Specialty Foodservice</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E-Commerce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National Brand Management</w:t>
      </w:r>
    </w:p>
    <w:p>
      <w:pPr>
        <w:spacing w:after="0" w:line="3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Logistics</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(unaudited)</w:t>
            </w:r>
          </w:p>
        </w:tc>
      </w:tr>
      <w:tr>
        <w:trPr>
          <w:trHeight w:val="216"/>
        </w:trPr>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17,630,515</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12,060,223</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1,839,541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2,652,307</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336,766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260,934</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253,160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233,889</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20,059,982</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15,207,353</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-719455</wp:posOffset>
            </wp:positionV>
            <wp:extent cx="557212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-445135</wp:posOffset>
            </wp:positionV>
            <wp:extent cx="557212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-161925</wp:posOffset>
            </wp:positionV>
            <wp:extent cx="5572125"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178"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195"/>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(unaudited)</w:t>
            </w:r>
          </w:p>
        </w:tc>
      </w:tr>
      <w:tr>
        <w:trPr>
          <w:trHeight w:val="216"/>
        </w:trPr>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46,072,258</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29,049,060</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8,637,210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10,917,318</w:t>
            </w: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872,732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751,865</w:t>
            </w:r>
          </w:p>
        </w:tc>
      </w:tr>
      <w:tr>
        <w:trPr>
          <w:trHeight w:val="230"/>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644,049</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644,573</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56,226,249</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41,362,816</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-719455</wp:posOffset>
            </wp:positionV>
            <wp:extent cx="55721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-445135</wp:posOffset>
            </wp:positionV>
            <wp:extent cx="557212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-161925</wp:posOffset>
            </wp:positionV>
            <wp:extent cx="557212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2125" cy="1625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74930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2">
            <w:col w:w="4680" w:space="720"/>
            <w:col w:w="4599"/>
          </w:cols>
          <w:pgMar w:left="460" w:top="125"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Basic and Diluted Earnings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 For the three and nine months ended September 30, 2022, 2,300,000 stock options were excluded from the calculation of fully diluted earnings per share because the effect would have been anti-dilutive. For the three and nine months ended September 30, 2021, 2,225,000 stock options were excluded from the calculation of fully diluted earnings per share because the effect would have been anti-dilutive.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September 30, 2022:</w:t>
      </w:r>
    </w:p>
    <w:p>
      <w:pPr>
        <w:spacing w:after="0" w:line="166"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9"/>
              </w:rPr>
              <w:t>Exercise</w:t>
            </w:r>
          </w:p>
        </w:tc>
        <w:tc>
          <w:tcPr>
            <w:tcW w:w="2920" w:type="dxa"/>
            <w:vAlign w:val="bottom"/>
            <w:gridSpan w:val="2"/>
          </w:tcPr>
          <w:p>
            <w:pPr>
              <w:ind w:left="1000"/>
              <w:spacing w:after="0"/>
              <w:rPr>
                <w:sz w:val="20"/>
                <w:szCs w:val="20"/>
                <w:color w:val="auto"/>
              </w:rPr>
            </w:pPr>
            <w:r>
              <w:rPr>
                <w:rFonts w:ascii="Arial" w:cs="Arial" w:eastAsia="Arial" w:hAnsi="Arial"/>
                <w:sz w:val="18"/>
                <w:szCs w:val="18"/>
                <w:b w:val="1"/>
                <w:bCs w:val="1"/>
                <w:color w:val="auto"/>
              </w:rPr>
              <w:t>Number</w:t>
            </w:r>
          </w:p>
        </w:tc>
        <w:tc>
          <w:tcPr>
            <w:tcW w:w="2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0"/>
              </w:rPr>
              <w:t>Price</w:t>
            </w:r>
          </w:p>
        </w:tc>
        <w:tc>
          <w:tcPr>
            <w:tcW w:w="300" w:type="dxa"/>
            <w:vAlign w:val="bottom"/>
          </w:tcPr>
          <w:p>
            <w:pPr>
              <w:spacing w:after="0"/>
              <w:rPr>
                <w:sz w:val="20"/>
                <w:szCs w:val="20"/>
                <w:color w:val="auto"/>
              </w:rPr>
            </w:pPr>
          </w:p>
        </w:tc>
        <w:tc>
          <w:tcPr>
            <w:tcW w:w="26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of Options</w:t>
            </w:r>
          </w:p>
        </w:tc>
        <w:tc>
          <w:tcPr>
            <w:tcW w:w="28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2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0.41</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2420" w:type="dxa"/>
            <w:vAlign w:val="bottom"/>
            <w:gridSpan w:val="2"/>
          </w:tcPr>
          <w:p>
            <w:pPr>
              <w:jc w:val="right"/>
              <w:ind w:right="300"/>
              <w:spacing w:after="0"/>
              <w:rPr>
                <w:sz w:val="20"/>
                <w:szCs w:val="20"/>
                <w:color w:val="auto"/>
              </w:rPr>
            </w:pPr>
            <w:r>
              <w:rPr>
                <w:rFonts w:ascii="Arial" w:cs="Arial" w:eastAsia="Arial" w:hAnsi="Arial"/>
                <w:sz w:val="18"/>
                <w:szCs w:val="18"/>
                <w:color w:val="auto"/>
              </w:rPr>
              <w:t>0.50</w:t>
            </w:r>
          </w:p>
        </w:tc>
        <w:tc>
          <w:tcPr>
            <w:tcW w:w="2640" w:type="dxa"/>
            <w:vAlign w:val="bottom"/>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tcPr>
          <w:p>
            <w:pPr>
              <w:spacing w:after="0"/>
              <w:rPr>
                <w:sz w:val="18"/>
                <w:szCs w:val="18"/>
                <w:color w:val="auto"/>
              </w:rPr>
            </w:pP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2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0.60</w:t>
            </w:r>
          </w:p>
        </w:tc>
        <w:tc>
          <w:tcPr>
            <w:tcW w:w="2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2420" w:type="dxa"/>
            <w:vAlign w:val="bottom"/>
            <w:gridSpan w:val="2"/>
          </w:tcPr>
          <w:p>
            <w:pPr>
              <w:jc w:val="right"/>
              <w:ind w:right="300"/>
              <w:spacing w:after="0"/>
              <w:rPr>
                <w:sz w:val="20"/>
                <w:szCs w:val="20"/>
                <w:color w:val="auto"/>
              </w:rPr>
            </w:pPr>
            <w:r>
              <w:rPr>
                <w:rFonts w:ascii="Arial" w:cs="Arial" w:eastAsia="Arial" w:hAnsi="Arial"/>
                <w:sz w:val="18"/>
                <w:szCs w:val="18"/>
                <w:color w:val="auto"/>
              </w:rPr>
              <w:t>0.62</w:t>
            </w:r>
          </w:p>
        </w:tc>
        <w:tc>
          <w:tcPr>
            <w:tcW w:w="2640" w:type="dxa"/>
            <w:vAlign w:val="bottom"/>
          </w:tcPr>
          <w:p>
            <w:pPr>
              <w:jc w:val="right"/>
              <w:spacing w:after="0"/>
              <w:rPr>
                <w:sz w:val="20"/>
                <w:szCs w:val="20"/>
                <w:color w:val="auto"/>
              </w:rPr>
            </w:pPr>
            <w:r>
              <w:rPr>
                <w:rFonts w:ascii="Arial" w:cs="Arial" w:eastAsia="Arial" w:hAnsi="Arial"/>
                <w:sz w:val="18"/>
                <w:szCs w:val="18"/>
                <w:color w:val="auto"/>
              </w:rPr>
              <w:t>360,000</w:t>
            </w:r>
          </w:p>
        </w:tc>
        <w:tc>
          <w:tcPr>
            <w:tcW w:w="280" w:type="dxa"/>
            <w:vAlign w:val="bottom"/>
          </w:tcPr>
          <w:p>
            <w:pPr>
              <w:spacing w:after="0"/>
              <w:rPr>
                <w:sz w:val="18"/>
                <w:szCs w:val="18"/>
                <w:color w:val="auto"/>
              </w:rPr>
            </w:pP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2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0.85</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2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242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292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0"/>
                <w:szCs w:val="10"/>
                <w:color w:val="auto"/>
                <w:w w:val="71"/>
              </w:rPr>
              <w:t>$</w:t>
            </w:r>
          </w:p>
        </w:tc>
        <w:tc>
          <w:tcPr>
            <w:tcW w:w="2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28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2,300,000</w:t>
            </w:r>
          </w:p>
        </w:tc>
        <w:tc>
          <w:tcPr>
            <w:tcW w:w="280" w:type="dxa"/>
            <w:vAlign w:val="bottom"/>
          </w:tcPr>
          <w:p>
            <w:pPr>
              <w:spacing w:after="0"/>
              <w:rPr>
                <w:sz w:val="18"/>
                <w:szCs w:val="18"/>
                <w:color w:val="auto"/>
              </w:rPr>
            </w:pPr>
          </w:p>
        </w:tc>
        <w:tc>
          <w:tcPr>
            <w:tcW w:w="278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2022,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Grants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September 30, 2022, there were an aggregate 86,236 unvested stock grants outstanding due to the Company’s two independent directors. These grants will vest as follows: 25,816 per quarter through December 31, 2022, and 15,106 per quarter through September 30, 2023, and 15,102 during the quarter ended December 31, 2023. The fair value of these stock grants at the date of the grant were charged to operations upon vesting.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shares at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options outstanding and the related prices for the options to purchase shares of the Company’s common stock issued by the Company at September 30, 2021:</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86"/>
              </w:rPr>
              <w:t>Exercise</w:t>
            </w:r>
          </w:p>
        </w:tc>
        <w:tc>
          <w:tcPr>
            <w:tcW w:w="2880" w:type="dxa"/>
            <w:vAlign w:val="bottom"/>
            <w:gridSpan w:val="2"/>
          </w:tcPr>
          <w:p>
            <w:pPr>
              <w:ind w:left="1020"/>
              <w:spacing w:after="0"/>
              <w:rPr>
                <w:sz w:val="20"/>
                <w:szCs w:val="20"/>
                <w:color w:val="auto"/>
              </w:rPr>
            </w:pPr>
            <w:r>
              <w:rPr>
                <w:rFonts w:ascii="Arial" w:cs="Arial" w:eastAsia="Arial" w:hAnsi="Arial"/>
                <w:sz w:val="18"/>
                <w:szCs w:val="18"/>
                <w:b w:val="1"/>
                <w:bCs w:val="1"/>
                <w:color w:val="auto"/>
              </w:rPr>
              <w:t>Number</w:t>
            </w:r>
          </w:p>
        </w:tc>
        <w:tc>
          <w:tcPr>
            <w:tcW w:w="3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r>
      <w:tr>
        <w:trPr>
          <w:trHeight w:val="234"/>
        </w:trPr>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90"/>
              </w:rPr>
              <w:t>Price</w:t>
            </w:r>
          </w:p>
        </w:tc>
        <w:tc>
          <w:tcPr>
            <w:tcW w:w="200" w:type="dxa"/>
            <w:vAlign w:val="bottom"/>
          </w:tcPr>
          <w:p>
            <w:pPr>
              <w:spacing w:after="0"/>
              <w:rPr>
                <w:sz w:val="20"/>
                <w:szCs w:val="20"/>
                <w:color w:val="auto"/>
              </w:rPr>
            </w:pPr>
          </w:p>
        </w:tc>
        <w:tc>
          <w:tcPr>
            <w:tcW w:w="26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of Options</w:t>
            </w:r>
          </w:p>
        </w:tc>
        <w:tc>
          <w:tcPr>
            <w:tcW w:w="200" w:type="dxa"/>
            <w:vAlign w:val="bottom"/>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r>
      <w:tr>
        <w:trPr>
          <w:trHeight w:val="209"/>
        </w:trPr>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2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r>
      <w:tr>
        <w:trPr>
          <w:trHeight w:val="216"/>
        </w:trPr>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0.62</w:t>
            </w:r>
          </w:p>
        </w:tc>
        <w:tc>
          <w:tcPr>
            <w:tcW w:w="2880" w:type="dxa"/>
            <w:vAlign w:val="bottom"/>
            <w:gridSpan w:val="2"/>
          </w:tcPr>
          <w:p>
            <w:pPr>
              <w:jc w:val="right"/>
              <w:ind w:right="200"/>
              <w:spacing w:after="0"/>
              <w:rPr>
                <w:sz w:val="20"/>
                <w:szCs w:val="20"/>
                <w:color w:val="auto"/>
              </w:rPr>
            </w:pPr>
            <w:r>
              <w:rPr>
                <w:rFonts w:ascii="Arial" w:cs="Arial" w:eastAsia="Arial" w:hAnsi="Arial"/>
                <w:sz w:val="18"/>
                <w:szCs w:val="18"/>
                <w:color w:val="auto"/>
              </w:rPr>
              <w:t>360,000</w:t>
            </w: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2.25</w:t>
            </w:r>
          </w:p>
        </w:tc>
      </w:tr>
      <w:tr>
        <w:trPr>
          <w:trHeight w:val="216"/>
        </w:trPr>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0.85</w:t>
            </w:r>
          </w:p>
        </w:tc>
        <w:tc>
          <w:tcPr>
            <w:tcW w:w="2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540,000</w:t>
            </w: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r>
      <w:tr>
        <w:trPr>
          <w:trHeight w:val="216"/>
        </w:trPr>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880" w:type="dxa"/>
            <w:vAlign w:val="bottom"/>
            <w:gridSpan w:val="2"/>
          </w:tcPr>
          <w:p>
            <w:pPr>
              <w:jc w:val="right"/>
              <w:ind w:right="200"/>
              <w:spacing w:after="0"/>
              <w:rPr>
                <w:sz w:val="20"/>
                <w:szCs w:val="20"/>
                <w:color w:val="auto"/>
              </w:rPr>
            </w:pPr>
            <w:r>
              <w:rPr>
                <w:rFonts w:ascii="Arial" w:cs="Arial" w:eastAsia="Arial" w:hAnsi="Arial"/>
                <w:sz w:val="18"/>
                <w:szCs w:val="18"/>
                <w:color w:val="auto"/>
              </w:rPr>
              <w:t>50,000</w:t>
            </w: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4.25</w:t>
            </w:r>
          </w:p>
        </w:tc>
      </w:tr>
      <w:tr>
        <w:trPr>
          <w:trHeight w:val="216"/>
        </w:trPr>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1,100,000</w:t>
            </w: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r>
      <w:tr>
        <w:trPr>
          <w:trHeight w:val="216"/>
        </w:trPr>
        <w:tc>
          <w:tcPr>
            <w:tcW w:w="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2680" w:type="dxa"/>
            <w:vAlign w:val="bottom"/>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tcPr>
          <w:p>
            <w:pPr>
              <w:spacing w:after="0"/>
              <w:rPr>
                <w:sz w:val="18"/>
                <w:szCs w:val="18"/>
                <w:color w:val="auto"/>
              </w:rPr>
            </w:pPr>
          </w:p>
        </w:tc>
        <w:tc>
          <w:tcPr>
            <w:tcW w:w="302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r>
      <w:tr>
        <w:trPr>
          <w:trHeight w:val="20"/>
        </w:trPr>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2,225,000</w:t>
            </w:r>
          </w:p>
        </w:tc>
        <w:tc>
          <w:tcPr>
            <w:tcW w:w="20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r>
      <w:tr>
        <w:trPr>
          <w:trHeight w:val="20"/>
        </w:trPr>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2021, the Company issued 50,000 two-year options with a fair value $2,270 to a director. The Company charged the amount of $35,878 and $107,836 to operations in connection with stock options during the three and nine months ended September 30,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2021,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Grants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charged the amount of $124,874 and $368,296 to operations in connection with stock grants during the three and nine months ended September 30,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Recent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 - Credit Losses (Topic 326). ASU 2016-13 provides for a new impairment model which requires measurement and recognition of expected credit losses for most financial assets and certain other instruments, including but not limited to, accounts receivable. ASU 2016-13 will become effective for the Company on January 1, 2023 and early adoption is permitted. The Company does not anticipate that the adoption of this standard will have a material impact on our consolidated financial statements.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us on January 1, 2023; adoption of this standard is not expected to have a material effect on our consolidated financial statements and related disclosures.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accompanying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LIQUIDITY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in conformity with accounting principles generally accepted in the United States of America, which contemplate continuation of the Company as a going concern. The Company had an accumulated deficit of $35,560,541 at September 30, 2022 and negative cash flow from operations in the amount of $2,802,762 for the nine months ended September 30, 2022. The Company’s current liabilities exceeded its current assets by $4,607,614 as of September 30, 2022. The Company has reported a net loss of $2,444,417 for the nine months ended September 30, 2022.</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working to manage its current liabilities while it continues to make changes in operations to further improve its cash flow and liquidity position. Management believes the Company will generate sufficient capital from operations and, if additional financing is required, from debt and equity financing in order to satisfy current liabilities in the succeeding twelve months. Management’s belief is based, if necessary, on the Company’s operating plans, which in turn is based on assumptions that may prove to be incorrect.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6, 2022, the Company entered into the following loan agreements with MapleMark: the MapleMark Revolver, with a balance at September 30, 2022 of $2,014,333; the MapleMark Term Loan 1, with a balance at September 30, 2022 of $5,324,733; and the MapleMark Term Loan 2, with a balance at September 30, 2022 $356,800 (the “MapleMark Loans”). See notes 13 and 14. The total debt due to MapleMark at September 30, 2022 was $7,695,866. The purpose of the MapleMark Loans was to recapitalize the Company’s debt by the loans payable to Fifth Third Bank in the aggregate amount of $5,665,456.</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MapleMark Revolver has an initial maturity date of November 28, 2022; the MapleMark Term Loans 1 and 2 have initial maturity dates of November 28, 2022. The Company has applied for, and expects to receive, loan guarantees from the United States Department of Agriculture pursuant to its Business and Industry Guarantee Loan Program, though there can be no assurance that these guarantees will be received. Upon receipt of these loan guarantees, the maturity date of the Revolver will be extended to November 28, 2023, and the maturity date of the Term Loans will be extended to June 6, 2052. See note 19.</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Company’s cash flow from operations is insufficient, the Company may require additional financing in order to execute its operating plan and continue as a going concern. The Company cannot predict whether this additional financing will be in the form of equity or debt, or be in another form. The Company may not be able to obtain the necessary additional capital on a timely basis, on acceptable terms, or at all. 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 The Company has not made any adjustments to the financial statements which would be necessary should the Company not be able to continue as a going concern.</w:t>
      </w:r>
    </w:p>
    <w:p>
      <w:pPr>
        <w:sectPr>
          <w:pgSz w:w="11900" w:h="16838" w:orient="portrait"/>
          <w:cols w:equalWidth="0" w:num="1">
            <w:col w:w="10960"/>
          </w:cols>
          <w:pgMar w:left="460" w:top="125" w:right="47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2022 and December 31, 2021, accounts receivable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-121920</wp:posOffset>
            </wp:positionV>
            <wp:extent cx="557212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5,036,296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3,632,695</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(365,651)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(375,931)</w:t>
            </w:r>
          </w:p>
        </w:tc>
      </w:tr>
      <w:tr>
        <w:trPr>
          <w:trHeight w:val="210"/>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4,670,645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3,256,764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00" w:space="720"/>
            <w:col w:w="4340"/>
          </w:cols>
          <w:pgMar w:left="460" w:top="125" w:right="479" w:bottom="1440" w:gutter="0" w:footer="0" w:header="0"/>
          <w:type w:val="continuous"/>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and nine months ended September 30, 2022 the Company charged the amount of $3,437 and $11,473 to provision for doubtful accounts, respectively; during the previous period the Company charged the amount of $4,456 and $32,443 to provision for doubtful accounts,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primarily of specialty food products. At September 30, 2022 and December 31, 2021, inventory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1100" w:type="dxa"/>
            <w:vAlign w:val="bottom"/>
          </w:tcPr>
          <w:p>
            <w:pPr>
              <w:spacing w:after="0"/>
              <w:rPr>
                <w:sz w:val="22"/>
                <w:szCs w:val="22"/>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Inventory</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2,937,098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3,109,984</w:t>
            </w:r>
          </w:p>
        </w:tc>
        <w:tc>
          <w:tcPr>
            <w:tcW w:w="80" w:type="dxa"/>
            <w:vAlign w:val="bottom"/>
            <w:shd w:val="clear" w:color="auto" w:fill="CCEEFF"/>
          </w:tcPr>
          <w:p>
            <w:pPr>
              <w:spacing w:after="0"/>
              <w:rPr>
                <w:sz w:val="22"/>
                <w:szCs w:val="22"/>
                <w:color w:val="auto"/>
              </w:rPr>
            </w:pPr>
          </w:p>
        </w:tc>
        <w:tc>
          <w:tcPr>
            <w:tcW w:w="1080" w:type="dxa"/>
            <w:vAlign w:val="bottom"/>
          </w:tcPr>
          <w:p>
            <w:pPr>
              <w:spacing w:after="0"/>
              <w:rPr>
                <w:sz w:val="22"/>
                <w:szCs w:val="22"/>
                <w:color w:val="auto"/>
              </w:rPr>
            </w:pPr>
          </w:p>
        </w:tc>
      </w:tr>
      <w:tr>
        <w:trPr>
          <w:trHeight w:val="629"/>
        </w:trPr>
        <w:tc>
          <w:tcPr>
            <w:tcW w:w="1100" w:type="dxa"/>
            <w:vAlign w:val="bottom"/>
          </w:tcPr>
          <w:p>
            <w:pPr>
              <w:spacing w:after="0"/>
              <w:rPr>
                <w:sz w:val="24"/>
                <w:szCs w:val="24"/>
                <w:color w:val="auto"/>
              </w:rPr>
            </w:pPr>
          </w:p>
        </w:tc>
        <w:tc>
          <w:tcPr>
            <w:tcW w:w="3080" w:type="dxa"/>
            <w:vAlign w:val="bottom"/>
            <w:tcBorders>
              <w:top w:val="single" w:sz="8" w:color="CCEEFF"/>
            </w:tcBorders>
          </w:tcPr>
          <w:p>
            <w:pPr>
              <w:spacing w:after="0"/>
              <w:rPr>
                <w:sz w:val="24"/>
                <w:szCs w:val="24"/>
                <w:color w:val="auto"/>
              </w:rPr>
            </w:pPr>
          </w:p>
        </w:tc>
        <w:tc>
          <w:tcPr>
            <w:tcW w:w="2460" w:type="dxa"/>
            <w:vAlign w:val="bottom"/>
            <w:tcBorders>
              <w:top w:val="single" w:sz="8" w:color="CCEEFF"/>
            </w:tcBorders>
          </w:tcPr>
          <w:p>
            <w:pPr>
              <w:jc w:val="right"/>
              <w:ind w:right="970"/>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5" w:right="47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of Building</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owns a building and property located at 28411 Race Track Road, Bonita Springs, Florida 34135. The property consists of approximately 1.1 acres of land and approximately 10,000 square feet of combined office and warehouse space, and was purchased as part of a bank short sale. The Company moved its operations to these premises on July 15, 2013. The purchase price of the property was $792,758.</w:t>
      </w:r>
    </w:p>
    <w:p>
      <w:pPr>
        <w:spacing w:after="0" w:line="16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May 14, 2015, the Company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National Association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LIBOR rate plus 3.0%.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is used by Artisan and other subsidiaries of the Company for the purposes of new product testing and development and approval, Quality Assurance and Quality Control as well as sales presentations and customer demonstrations. In addition, we added a packaging room to the Artisan building, which is built to FDA, FSMA and SQF food safety standards and purchased new, technologically advanced semi-automated fillers for the packaging room. The packaging room addition will allow for expansion of private label product lines as well as packing of organic, non-GMO, diet specific and other specialty foods. The test kitchen, packaging room and additional improvements were financed by a loan from Fifth Third Bank.</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on the building and the related improvements, furniture, fixtures, and equipment began when the Company occupied the facility in October, 2015.</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2022 was $16,400,000. Related to the Facility purchase, the Company entered into a commercial loan agreement for both the purchase price and planned improvements to the Facility. The amount of the loan was $5,500,000, of which $3,600,000 had been utilized at December 31, 2021 in connection with the purchase of the Facility; the lender is Fifth Third Bank and the loan is secured by a mortgage on the property and other Company assets. The interest on the loan is LIBOR plus 2.75%, with interest only payments due through September 30, 2020, thereafter with principal amortized over 20 years with the balance due at maturity on September 2, 2025. Related to Facility purchase, the Company also acquired certain leases from certain tenants of the Facility, all of which were in good standing at the time of purchase. Depreciation on the building began when the Company commenced recognizing revenue from leasing and logistics services associated with the Facility. On October 5, 2020, the Company completed work to upgrade the Facility at a cost of $2,231,458 in order to better support the Company’s focus on e-commerce and logistics. Of the build out costs, $1,900,000 was funded by the loan described below. On June 9, 2022, the principal and interest due on this note in the amount of $5,168,000 and $14,967, respectively, were paid directly to Fifth Third Bank by MapleMark in connection with MapleMark Term Loan 1. (See note 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property and equipment at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c>
          <w:tcPr>
            <w:tcW w:w="108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1,256,895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1,256,895</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Building</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7,191,451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7,191,451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593,566</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Warehouse Equipment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376,667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376,667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944,233</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Vehicles</w:t>
            </w:r>
          </w:p>
        </w:tc>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109,441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before accumulated depreciation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10,559,321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10,472,253</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(2,551,264)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(2,286,026)</w:t>
            </w:r>
          </w:p>
        </w:tc>
        <w:tc>
          <w:tcPr>
            <w:tcW w:w="10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8,008,057</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8,186,227</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2"/>
        </w:trPr>
        <w:tc>
          <w:tcPr>
            <w:tcW w:w="110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jc w:val="right"/>
              <w:ind w:right="970"/>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5"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for property and equipment amounted to $96,650 and $97,797 for the three months ended September 30, 2022 and 2021, respectively. Depreciation and amortization expense for property and equipment amounted to $285,215 and $298,362 for the nine months ended September 30, 2022 and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RIGHT OF USE (</w:t>
      </w:r>
      <w:r>
        <w:rPr>
          <w:rFonts w:ascii="Arial" w:cs="Arial" w:eastAsia="Arial" w:hAnsi="Arial"/>
          <w:sz w:val="18"/>
          <w:szCs w:val="18"/>
          <w:color w:val="auto"/>
        </w:rPr>
        <w:t>“</w:t>
      </w:r>
      <w:r>
        <w:rPr>
          <w:rFonts w:ascii="Arial" w:cs="Arial" w:eastAsia="Arial" w:hAnsi="Arial"/>
          <w:sz w:val="18"/>
          <w:szCs w:val="18"/>
          <w:b w:val="1"/>
          <w:bCs w:val="1"/>
          <w:color w:val="auto"/>
        </w:rPr>
        <w:t>ROU</w:t>
      </w:r>
      <w:r>
        <w:rPr>
          <w:rFonts w:ascii="Arial" w:cs="Arial" w:eastAsia="Arial" w:hAnsi="Arial"/>
          <w:sz w:val="18"/>
          <w:szCs w:val="18"/>
          <w:color w:val="auto"/>
        </w:rPr>
        <w:t>”</w:t>
      </w:r>
      <w:r>
        <w:rPr>
          <w:rFonts w:ascii="Arial" w:cs="Arial" w:eastAsia="Arial" w:hAnsi="Arial"/>
          <w:sz w:val="18"/>
          <w:szCs w:val="18"/>
          <w:b w:val="1"/>
          <w:bCs w:val="1"/>
          <w:color w:val="auto"/>
        </w:rPr>
        <w:t xml:space="preserve">) ASSETS AND LEASE LIABILITIES </w:t>
      </w:r>
      <w:r>
        <w:rPr>
          <w:rFonts w:ascii="Arial" w:cs="Arial" w:eastAsia="Arial" w:hAnsi="Arial"/>
          <w:sz w:val="18"/>
          <w:szCs w:val="18"/>
          <w:color w:val="auto"/>
        </w:rPr>
        <w:t>–</w:t>
      </w:r>
      <w:r>
        <w:rPr>
          <w:rFonts w:ascii="Arial" w:cs="Arial" w:eastAsia="Arial" w:hAnsi="Arial"/>
          <w:sz w:val="18"/>
          <w:szCs w:val="18"/>
          <w:b w:val="1"/>
          <w:bCs w:val="1"/>
          <w:color w:val="auto"/>
        </w:rPr>
        <w:t xml:space="preserve"> OPERATING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lease expense for the three months ended September 30, 2022 and 2021 was entirely comprised of operating leases and amounted to $18,213 and $30,861, respectively. The Company’s lease expense for the nine months ended September 30, 2022 and 2021 was entirely comprised of operating leases and amounted to $60,186 and $89,443, respectively.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ROU asset amortization for the three months ended September 30, 2022 and 2021 was $15,659 and $26,305, respectively. The Company’s ROU asset amortization for the nine months ended September 30, 2022 and 2021 was $50,821 and $76,005,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w w:val="99"/>
              </w:rPr>
              <w:t>Right of use assets – operating leases are summarized below:</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117,412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Warehouse equipment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Vehicles</w:t>
            </w:r>
          </w:p>
        </w:tc>
        <w:tc>
          <w:tcPr>
            <w:tcW w:w="1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 - operating leases, net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232,381</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tcPr>
          <w:p>
            <w:pPr>
              <w:spacing w:after="0"/>
              <w:rPr>
                <w:sz w:val="20"/>
                <w:szCs w:val="20"/>
                <w:color w:val="auto"/>
              </w:rPr>
            </w:pPr>
            <w:r>
              <w:rPr>
                <w:rFonts w:ascii="Arial" w:cs="Arial" w:eastAsia="Arial" w:hAnsi="Arial"/>
                <w:sz w:val="18"/>
                <w:szCs w:val="18"/>
                <w:color w:val="auto"/>
              </w:rPr>
              <w:t>Operating lease liabilities are summarized below:</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Office</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117,412</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Warehouse equipment</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Vehicles</w:t>
            </w:r>
          </w:p>
        </w:tc>
        <w:tc>
          <w:tcPr>
            <w:tcW w:w="1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168,344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current portion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(63,569)</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(74,088)</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10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 non-current</w:t>
            </w: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104,775</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158,293</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tcPr>
          <w:p>
            <w:pPr>
              <w:spacing w:after="0"/>
              <w:rPr>
                <w:sz w:val="20"/>
                <w:szCs w:val="20"/>
                <w:color w:val="auto"/>
              </w:rPr>
            </w:pPr>
            <w:r>
              <w:rPr>
                <w:rFonts w:ascii="Arial" w:cs="Arial" w:eastAsia="Arial" w:hAnsi="Arial"/>
                <w:sz w:val="18"/>
                <w:szCs w:val="18"/>
                <w:color w:val="auto"/>
                <w:w w:val="97"/>
              </w:rPr>
              <w:t>Maturity analysis under these lease agreements are as follows:</w:t>
            </w: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 the period ended September 30, 2023</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 the period ended September 30, 2024</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71,901</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 the period ended September 30, 2025</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37,938</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 the period ended September 30, 2026</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890</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 the period ended September 30, 2027</w:t>
            </w:r>
          </w:p>
        </w:tc>
        <w:tc>
          <w:tcPr>
            <w:tcW w:w="1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183,677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(15,333)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gridSpan w:val="2"/>
          </w:tcPr>
          <w:p>
            <w:pPr>
              <w:ind w:left="1100"/>
              <w:spacing w:after="0"/>
              <w:rPr>
                <w:sz w:val="20"/>
                <w:szCs w:val="20"/>
                <w:color w:val="auto"/>
              </w:rPr>
            </w:pPr>
            <w:r>
              <w:rPr>
                <w:rFonts w:ascii="Arial" w:cs="Arial" w:eastAsia="Arial" w:hAnsi="Arial"/>
                <w:sz w:val="18"/>
                <w:szCs w:val="18"/>
                <w:color w:val="auto"/>
              </w:rPr>
              <w:t>Lease liability</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168,344</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00" w:type="dxa"/>
            <w:vAlign w:val="bottom"/>
            <w:vMerge w:val="restart"/>
          </w:tcPr>
          <w:p>
            <w:pPr>
              <w:jc w:val="right"/>
              <w:ind w:right="97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RIGHT OF USE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financing leases for vehicles and warehouse equipment. (See note 15.) Right of use asset – financing leases are summarized below:</w:t>
      </w:r>
    </w:p>
    <w:p>
      <w:pPr>
        <w:spacing w:after="0" w:line="244"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4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404,858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362,358</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Warehouse Equipment</w:t>
            </w:r>
          </w:p>
        </w:tc>
        <w:tc>
          <w:tcPr>
            <w:tcW w:w="1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89"/>
              </w:rPr>
              <w:t>555,416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555,416</w:t>
            </w:r>
          </w:p>
        </w:tc>
        <w:tc>
          <w:tcPr>
            <w:tcW w:w="80" w:type="dxa"/>
            <w:vAlign w:val="bottom"/>
          </w:tcPr>
          <w:p>
            <w:pPr>
              <w:spacing w:after="0"/>
              <w:rPr>
                <w:sz w:val="18"/>
                <w:szCs w:val="18"/>
                <w:color w:val="auto"/>
              </w:rPr>
            </w:pP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before accumulated depreciation</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960,274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917,774</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left="490"/>
              <w:spacing w:after="0"/>
              <w:rPr>
                <w:sz w:val="20"/>
                <w:szCs w:val="20"/>
                <w:color w:val="auto"/>
              </w:rPr>
            </w:pPr>
            <w:r>
              <w:rPr>
                <w:rFonts w:ascii="Arial" w:cs="Arial" w:eastAsia="Arial" w:hAnsi="Arial"/>
                <w:sz w:val="18"/>
                <w:szCs w:val="18"/>
                <w:color w:val="auto"/>
                <w:w w:val="90"/>
              </w:rPr>
              <w:t>(356,471)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(248,735)</w:t>
            </w:r>
          </w:p>
        </w:tc>
      </w:tr>
      <w:tr>
        <w:trPr>
          <w:trHeight w:val="20"/>
        </w:trPr>
        <w:tc>
          <w:tcPr>
            <w:tcW w:w="4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right of use assets - financing leases, net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89"/>
              </w:rPr>
              <w:t>603,803</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669,039</w:t>
            </w:r>
          </w:p>
        </w:tc>
        <w:tc>
          <w:tcPr>
            <w:tcW w:w="80" w:type="dxa"/>
            <w:vAlign w:val="bottom"/>
            <w:shd w:val="clear" w:color="auto" w:fill="CCEEFF"/>
          </w:tcPr>
          <w:p>
            <w:pPr>
              <w:spacing w:after="0"/>
              <w:rPr>
                <w:sz w:val="19"/>
                <w:szCs w:val="19"/>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right of use assets for the three months ended September 30, 2022 and 2021 was $37,128 and $35,036,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right of use assets for the nine months ended September 30, 2022 and 2021 was $107,736 and $100,732,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has made investments in certain early stage food related companies which it expects can benefit from synergies with the Company’s various operating businesses. At September 30, 2022 and 2021 the Company has investments in seven food related companies in the aggregate amount of $286,725. The Company does not have significant influence over the operations of these companies.</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Company’s investments may take the form of debt, equity, or equity in the future including convertible notes and other instruments which provide for future equity under various scenarios including subsequent financings or initial public offerings. The Company has evaluated the guidance in ASC No. 325-20, “Investments – Other”, in determining to account for the investment using the cost method since the equity securities are not marketable and do not give the Company significant influence.</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nine months ended September 30, 2021, the founder of one of the food related companies passed away in an untimely tragic accident, and as a result the food related company ceased operations and the Company recognized an impairment in the amount of $209,850 in connection with that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acquired certain intangible assets pursuant to the acquisitions through Artisan, Oasis, Innovative Gourmet, OFB, Haley, and M Innovations. These assets include non-compete agreements, customer relationships, trade names, internally developed technology, and goodwill. The Company has also capitalized the development of its website.</w:t>
      </w:r>
    </w:p>
    <w:p>
      <w:pPr>
        <w:spacing w:after="0" w:line="18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 detailed in ASC 350 “Intangibles - Goodwill and Other”, the Company tests for goodwill impairment in the fourth quarter of each year and whenever events or changes in circumstances indicate that the carrying amount of the asset exceeds its fair value and may not be recoverable. As detailed in ASC 350-20-35-3A, in performing its testing for goodwill impairment, management has completed a qualitative analysis to determine whether it was more likely than not that the fair value of the Company’s reporting unit is less than its carrying amount, including goodwill. To complete this review, management followed the steps in ASC 350-20-35-3C to evaluate the fair value of goodwill and considered all known events and circumstances that might trigger an impairment of goodwill.</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COVID-19 has had a material negative impact on some of the Company’s foodservice customers. In an effort to limit the spread of the virus, federal, state and local governments have implemented measures that have resulted in the closure of non-essential businesses in many of the markets the Company serves, which has forced its customers in those markets to either transition their establishments to take-out service, delivery service or temporarily cease operations. These actions have led to a significant decrease in demand for certain of the Company’s foodservice products. The adverse impact to the Company’s foodservice customer base was a triggering event and accordingly, as required by ASC 350, the Company performed interim goodwill and long-lived asset quantitative impairment tests during the first quarter of 2020. While the triggering event was a result of the negative impact related to foodservice customers, the applicable accounting rules then required an impairment test targeted specifically to any available carrying value of goodwill or intangible assets. During the first quarter of 2020, the Company performed the impairment tests on certain intangible assets and goodwill pursuant to the acquisitions through Artisan, Oasis, Innovative Gourmet and M Innovations; the intangible assets acquired pursuant to the acquisitions of OFB and Haley were fully amortized at the time of the impairment test.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Impairment Test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Long-lived assets, including other intangible assets, were tested for recoverability at the asset group level. The Company estimated the net undiscounted cash flows expected to be generated from the asset group over the expected useful life of the asset group’s primary asset. Key assumptions include future revenues, growth rates, estimates of future levels of gross profit and operating profit and projected capital expenditures necessary to maintain the operating capacity of each asset group. As a result of the impairment test, it was calculated that the net carrying values of other intangible assets exceeded the undiscounted cash flows for each of the Company’s asset groups by a total of $1,048,692, and the Company was required by the applicable accounting rules to record an impairment charge to operations during the year ended December 31, 2020. At September 30, 2022 and December 31, 2021, the net carrying value of other intangible assets on the Company’s balance sheet was $1,574,147 and $1,605,040, respectively.</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acquired certain intangible assets pursuant to the acquisitions through Artisan, Oasis, Innovative Gourmet, OFB, Haley, and M Innovations. The following is the net book value of these assets: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September 30, 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 amortizable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(505,900)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Customer Relationships - amortizable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3,068,034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(3,068,034)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other</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Internally Developed Technology - amortizable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875,643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Website - amortizable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41,325</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6,066,399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(4,492,252)</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1,574,147</w:t>
            </w:r>
          </w:p>
        </w:tc>
        <w:tc>
          <w:tcPr>
            <w:tcW w:w="10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December 31, 2021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 amortizable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(505,900)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Customer Relationships - amortizable</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3,068,034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(3,068,034)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other</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875,643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Website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72,218</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6,066,399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(4,461,359)</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1,605,040</w:t>
            </w:r>
          </w:p>
        </w:tc>
        <w:tc>
          <w:tcPr>
            <w:tcW w:w="10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amortization expense for the three months ended September 30, 2022 and 2021 was $10,331 and $2,870, respectively. Total amortization expense for the nine months ended September 30, 2022 and 2021 was $30,993 and $8,610,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ACCRUED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September 30, 2022 and December 31, 2021 are as follows:</w:t>
      </w:r>
    </w:p>
    <w:p>
      <w:pPr>
        <w:sectPr>
          <w:pgSz w:w="11900" w:h="16838" w:orient="portrait"/>
          <w:cols w:equalWidth="0" w:num="1">
            <w:col w:w="10980"/>
          </w:cols>
          <w:pgMar w:left="460" w:top="12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Trade payables and accrued liabilities</w:t>
      </w:r>
    </w:p>
    <w:p>
      <w:pPr>
        <w:spacing w:after="0" w:line="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Accrued payroll and commissions</w:t>
      </w:r>
    </w:p>
    <w:p>
      <w:pPr>
        <w:spacing w:after="0" w:line="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Total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ACCRUED INTEREST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5,835,854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5,414,731</w:t>
            </w:r>
          </w:p>
        </w:tc>
      </w:tr>
      <w:tr>
        <w:trPr>
          <w:trHeight w:val="230"/>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234,395</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288,174</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6,070,249</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5,702,905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-445135</wp:posOffset>
            </wp:positionV>
            <wp:extent cx="557212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-162560</wp:posOffset>
            </wp:positionV>
            <wp:extent cx="55721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900" w:space="720"/>
            <w:col w:w="4360"/>
          </w:cols>
          <w:pgMar w:left="460" w:top="125" w:right="459" w:bottom="1440" w:gutter="0" w:footer="0" w:header="0"/>
          <w:type w:val="continuous"/>
        </w:sectPr>
      </w:pPr>
    </w:p>
    <w:p>
      <w:pPr>
        <w:spacing w:after="0" w:line="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September 30, 2022, accrued interest on notes outstanding was $18,008. During the three months ended September 30, 2022 and 2021, the Company paid cash for interest in the aggregate amount of $58,292 and $88,331, respectively. During the nine months ended September 30, 2022 and 2021, the Company paid cash for interest in the aggregate amount of $187,090 and $250,967, respectively.</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REVOLVING CREDIT FACILITIES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On June 6, 2022, the Company entered into a revolving credit facility with MapleMark Bank ("MapleMark”, the</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“MapleMark Revolver”) in the initial amount of $2,014,333. This amount was paid by MapleMark directly to Fifth</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Third Bank in satisfaction of the Fifth Third Bank Line of Credit. Any amounts borrowed under the MapleMark</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Revolver will bear interest at the greater of (a) the Base Rate (the rate of interest per annum quoted in the “Money</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Rates” section of The Wall Street Journal from time to time and designated as the “Prime Rate”) plus 0.25% per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annum and (b) 3.50% per annum. The MapleMark Revolver matures on November 28, 2022 and in the event United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States Department of Agriculture issues a guarantee of repayment of the MapleMark Revolver in favor of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Company pursuant to its Business and Industry Loan Guarantee Program (the “USDA Guarantee”), at the Company’s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option, the amount of the MapleMark Revolver can be expanded to $3,000,000 and its term extended to November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28, 2023. The Company has applied for a USDA Guarantee; at September 30, 2022, this guarantee had not yet been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received. The MapleMark Revolver contains negative covenants that, subject to certain exceptions, limit the ability of</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the Company and its subsidiaries to, among other things, incur additional indebtedness, make restricted payments,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rPr>
              <w:t>pledge their assets as security, make investments, loans, advances, guarantees and acquisitions, undergo fundamental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changes and enter into transactions with affiliates. The Company is also subject to a fixed charge coverage ratio</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covenant for the Revolver Loan as described in more detail in the MapleMark Revolver. The Company recorded a</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discount to this loan in the amount of $29,832 in connection with financing costs; $13,532 and $17,623 of this amount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was amortized to interest expense during the three and nine months ended September 30, 2022, respectively. During</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the three and nine months ended September 30, 2022, the Company paid interest in the amount of $34,355 on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MapleMark Revolver.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2,014,333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Line of credit facility with Fifth Third Bank in the original amount of $2,000,000 with an interest rate of LIBOR plus</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3.00% (the “Fifth Third Bank Line of Credit”). Effective August 1, 2019, this credit facility was extended to August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1, 2021. Effective as of July 31, 2021 this credit facility was extended to November 1, 2021: effective as of October</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29, 2021, this credit facility was extended to March 1, 2022; and effective March 1, 2022, this credit facility was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extended to June 30, 2022. The debt covenants of this credit facility were waived until June 30, 2022. On March 20,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2020, the Company drew down the amount of $2,000,000. During the three and nine months ended September 30,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2022, the Company paid interest in the amount of $22,459 and $44,681 respectively, on the Fifth Third Bank Line of</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Credit. On June 9, 2022, the total outstanding principal in the amount of $2,000,000 and accrued interest in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amount of $14,333 were paid directly to Fifth Third Bank by MapleMark in connection with the MapleMark</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Revolver. The Fifth Third Bank Line of Credit is paid in full.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2,014,333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NOTES PAYABLE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On June 6, 2022, the Company entered into a term loan agreement with MapleMark (the “MapleMark Term Loan 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for the original amount of $5,324,733. This amount was paid by MapleMark directly to Fifth Third Bank in</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satisfaction the outstanding principal and interest due under existing loans with Fifth Third Bank. The MapleMark</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7"/>
              </w:rPr>
              <w:t>Term Loan 1 matures on November 28, 2022. Upon receipt of the USDA Guarantee, the Company will have the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option of extending the term of the Term Loan 1 to June 6, 2052.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7"/>
              </w:rPr>
              <w:t>Amounts outstanding under the Term Loans will bear interest at the rate equal to the lesser of (a) the Maximum</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2"/>
              </w:rPr>
              <w:t>Lawful Rate, or (b) the greater of (i) WSJP (the “Prime Rate” as published by The Wall Street Journal) plus 1.25% per</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7"/>
              </w:rPr>
              <w:t>annum or (ii) 4.50% per annum. The Term Loan Agreements contain negative covenants that, subject to certain</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exceptions, limits the ability of the Company and its subsidiaries to, among other things, incur additional</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89"/>
              </w:rPr>
              <w:t>indebtedness, make restricted payments, pledge their assets as security, make investments, loans, advances, guarantees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1"/>
              </w:rPr>
              <w:t>and acquisitions, undergo fundamental changes and enter into transactions with affiliates. The Term Loan Agreements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2"/>
              </w:rPr>
              <w:t>also provides that the Company and its subsidiaries on a consolidated basis, meet a Fixed Charge Coverage Ratio as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described in detail in the Loan Agreements. The Term Loan Agreements contain events of default that are customary</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9"/>
              </w:rPr>
              <w:t>for a facility of this nature, including (subject in certain cases to grace periods and thresholds) nonpayment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7"/>
              </w:rPr>
              <w:t>principal, nonpayment of interest, fees or other amounts, material inaccuracy of representations and warranties,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violation of covenants, cross-default to certain other existing indebtedness, bankruptcy or insolvency events,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certain judgment defaults as specified in the Term Loan Agreements. If an event of default occurs, the maturity of the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amounts owed under the Term Loan Agreements may be accelerated. The obligations under the Term Loan</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4"/>
              </w:rPr>
              <w:t>Agreements are guaranteed by the Company and IFP and are secured by mortgages on their real estate located in</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Florida, Illinois, and Pennsylvania and substantially all of their assets, in each case, subject to certain exceptions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permitted liens. The Company recorded a discount to this loan in the amount of $57,106 in connection with financing</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1"/>
              </w:rPr>
              <w:t>costs; $25,904 and $33,736 of this amount was amortized to interest expense during the three and nine months ended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0"/>
              </w:rPr>
              <w:t>September 30, 2022, respectively. During the three and nine months ended September 30, 2022, the Company accrued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interest in the amount of $88,856 and $108,380 on this loan, respectively.</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5,324,733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On June 6, 2022, the Company entered into a term loan agreement with MapleMark (the “MapleMark Term Loan 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5"/>
              </w:rPr>
              <w:t>for the original amount of $356,800. This amount was paid by MapleMark directly to Fifth Third Bank in satisfaction</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5"/>
              </w:rPr>
              <w:t>the outstanding principal and interest due under existing loans with Fifth Third Bank. The MapleMark Term Loan 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matures on November 28, 2022. Upon receipt of the USDA Guarantee, the Company will have the option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extending the term of the Term Loan 1 to June 6, 2052.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7"/>
              </w:rPr>
              <w:t>Amounts outstanding under the Term Loans will bear interest at the rate equal to the lesser of (a) the Maximum</w:t>
            </w: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2"/>
              </w:rPr>
              <w:t>Lawful Rate, or (b) the greater of (i) WSJP (the “Prime Rate” as published by The Wall Street Journal) plus 1.25% per</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7"/>
              </w:rPr>
              <w:t>annum or (ii) 4.50% per annum. The Term Loan Agreements contain negative covenants that, subject to certain</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exceptions, limits the ability of the Company and its subsidiaries to, among other things, incur additional</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89"/>
              </w:rPr>
              <w:t>indebtedness, make restricted payments, pledge their assets as security, make investments, loans, advances, guarantees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1"/>
              </w:rPr>
              <w:t>and acquisitions, undergo fundamental changes and enter into transactions with affiliates. The Term Loan Agreements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2"/>
              </w:rPr>
              <w:t>also provides that the Company and its subsidiaries on a consolidated basis, meet a Fixed Charge Coverage Ratio as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described in detail in the Loan Agreements. The Term Loan Agreements contain events of default that are customary</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9"/>
              </w:rPr>
              <w:t>for a facility of this nature, including (subject in certain cases to grace periods and thresholds) nonpayment of</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7"/>
              </w:rPr>
              <w:t>principal, nonpayment of interest, fees or other amounts, material inaccuracy of representations and warranties,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violation of covenants, cross-default to certain other existing indebtedness, bankruptcy or insolvency events,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certain judgment defaults as specified in the Term Loan Agreements. If an event of default occurs, the maturity of the</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amounts owed under the Term Loan Agreements may be accelerated. The obligations under the Term Loan</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4"/>
              </w:rPr>
              <w:t>Agreements are guaranteed by the Company and IFP and are secured by mortgages on their real estate located in</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Florida, Illinois, and Pennsylvania and substantially all of their assets, in each case, subject to certain exceptions and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permitted liens. The Company recorded a discount to this loan in the amount of $23,367 in connection with financing</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1"/>
              </w:rPr>
              <w:t>costs; $10,599 and $13,804 of this amount was amortized to interest expense during the three and nine months ended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0"/>
              </w:rPr>
              <w:t>September 30, 2022, respectively. During the three and nine months ended September 30, 2022, the Company accrued</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interest in the amount of $5,954 and $7,262 on this loan, respectively.</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5"/>
              </w:rPr>
              <w:t>Secured mortgage note payable for the acquisition of land and building in Bonita Springs, Florida in the amount of</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2"/>
              </w:rPr>
              <w:t>$546,000. Principal payments of $4,550 plus interest at the rate of Libor plus 3% are due monthly. The balance of the</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2"/>
              </w:rPr>
              <w:t>principal amount was originally due February 28, 2018. On March 23, 2018 and effective February 26, 2018, this note</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was amended and renewed in the amount of $273,000, with monthly payments of principal and interest of $4,550</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payable through the maturity date of February 28, 2023. During the three months ended September 30, 2022, the</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Company made payments of principal and interest on this note in the amounts of $9,100 and $151, respectively; and</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1"/>
              </w:rPr>
              <w:t>during the nine months ended September 30, 2022, the Company made payments of principal and interest on this note</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in the amounts of $22,750 and $655, respectively. On June 9, 2022, the principal and interest due on this note in the</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amount of $45,500 and $66, respectively, were paid directly to Fifth Third Bank by MapleMark in connection with</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MapleMark Term Loan 2.</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68,250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Secured mortgage note payable for the acquisition of land and building in Broadview, Illinois in the amount of</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4"/>
              </w:rPr>
              <w:t>$980,000. Principal payments of $8,167 plus interest at the rate of LIBOR plus 2.75% are due monthly through April</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2020, the remaining principal balance in the amount of $490,000 was originally due May 29, 2020. Effective May 29,</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5"/>
              </w:rPr>
              <w:t>2020, the note was amended and renewed such that principal payments of $8,303 plus accrued interest were due</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4"/>
              </w:rPr>
              <w:t>beginning June 29, 2020 and continuing for sixty months; the entire principal balance and all accrued interest will be</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2"/>
              </w:rPr>
              <w:t>due on May 29, 2025. During the three months ended September 30, 2022, the Company made payments of principal</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1"/>
              </w:rPr>
              <w:t>and interest on this note in the amounts of $16,333 and $1,305, respectively; during the nine months ended September</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30, 2022, the Company made payments of principal and interest on this note in the amounts of $40,833 and $3,781,</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8"/>
              </w:rPr>
              <w:t>respectively. On June 9, 2022, the principal and interest due on this note in the amount of $310,333 and $901,</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9"/>
              </w:rPr>
              <w:t>respectively, were paid directly to Fifth Third Bank by Maple Mark in connection with MapleMark Term Loan 2.</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351,165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Promissory note dated March 22, 2019 in the original amount of $391,558 (the “Artisan Equipment Loan”) payable to</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Fifth Third Bank. This loan is secured by the Company’s tangible and intangible personal property and bears interest</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at the rate of 5.20%. The entire principal balance and all accrued interest is due on the maturity date of March 21,</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4"/>
              </w:rPr>
              <w:t>2024. Monthly payments in the amount of $7,425 including principal and interest commenced in April, 2019. During</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2"/>
              </w:rPr>
              <w:t>the year ended December 31, 2019, equipment financed under the Artisan Equipment Loan in the amount of $33,075</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8"/>
              </w:rPr>
              <w:t>was returned for credit. During the three months ended September 30, 2022, the Company made payments of</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principal and interest on this loan in the amounts of $12,288 and $1,308, respectively; during the nine months ended</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4"/>
              </w:rPr>
              <w:t>September 30, 2022, the Company made payments of principal and interest on this loan in the amounts of $30,523</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and $3,467, respectively. On June 9, 2022, the principal and interest due on this note in the amount of $141,623 and</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$143, respectively, were paid directly to Fifth Third Bank by MapleMark in connection with MapleMark Term Loan</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1.</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172,146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3"/>
              </w:rPr>
              <w:t>A note payable in the amount of $20,000. The Note was due in January 2006 and the Company is currently accruing</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5"/>
              </w:rPr>
              <w:t>interest on this note at 1.9%. During the three and nine months ended September 30, 2022, the Company accrued</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1"/>
              </w:rPr>
              <w:t>interest in the amount of $96 and $285, respectively, on this note. At September 30, 2022, accrued interest on this note</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was $18,008.</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Vehicle acquisition loan dated December 6, 2018 in the original amount of $51,088, payable in sixty monthly</w:t>
            </w: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6"/>
              </w:rPr>
              <w:t>installments of $955 including interest at the rate of 4.61% maturing November 5, 2023. During the three months</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4"/>
              </w:rPr>
              <w:t>ended September 30, 2022, the Company made principal and interest payments in the amount of $2,694 and $168,</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w w:val="97"/>
              </w:rPr>
              <w:t>respectively, on this loan; during the nine months ended September 30, 2022, the Company made principal and</w:t>
            </w: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6"/>
                <w:szCs w:val="16"/>
                <w:color w:val="auto"/>
              </w:rPr>
              <w:t>interest payments in the amount of $7,991 and $601, respectively.</w:t>
            </w:r>
          </w:p>
        </w:tc>
        <w:tc>
          <w:tcPr>
            <w:tcW w:w="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12,992</w:t>
            </w:r>
          </w:p>
        </w:tc>
        <w:tc>
          <w:tcPr>
            <w:tcW w:w="6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20,984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(unaudited)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Secured mortgage facility in the amount of $5,500,000 with Fifth Third Bank for the acquisition of land and building</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in Mountaintop, Pennsylvania dated November 8, 2019 (the “Fifth Third Mortgage Facility”). The Fifth Third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Mortgage Facility is secured by the assets acquired. During the year ended December 31, 2019, the Company drew</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rPr>
              <w:t>down $3,600,000 of this facility. During the year ended December 31, 2020, the Company drew down an additional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$1,900,000 of this facility. The interest rate is LIBOR plus 2.75% with interest only due through September 30, 2020,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thereafter with principal amortized at a 20 years amortization rate and the balance due on the maturity date of</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September 2, 2025. The Company prepaid loan fees in connection with this loan in the amount of $72,916 which are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considered a discount to the loan and are being amortized over the term of the note; during the three and nine months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rPr>
              <w:t>ended September 30, 2022, $0 and $5,456, respectively, of this discount was amortized to interest expense. During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three months ended September 30, 2022, the Company made principal and interest payments in the amount of $0 and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$13,351, respectively, on this loan; during the nine months ended September 30, 2022, the Company made principal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and interest payments in the amount of $0 and $51,151, respectively, on this loan. On June 9, 2022, the principal and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interest due on this note in the amount of $5,168,000 and $14,967, respectively, were paid directly to Fifth Third Bank</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by MapleMark in connection with MapleMark Term Loan 1. The Company recorded a loss in the amount of $40,556</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on this transaction in connection with the write-off of the unamortized portion of the discount.</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20" w:type="dxa"/>
            <w:vAlign w:val="bottom"/>
          </w:tcPr>
          <w:p>
            <w:pPr>
              <w:spacing w:after="0"/>
              <w:rPr>
                <w:sz w:val="24"/>
                <w:szCs w:val="24"/>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The Company also had in place an interest rate swap agreement (the “Fifth Third Interest Rate Swap”) with Fifth</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Third bank in connection with the Fifth Third Mortgage Facility. Pursuant to the Fifth Third Interest Rate Swap,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Company paid an additional base rate of 0.59% reduced by the difference between an initial LIBOR rate of 0.1513%</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and the month-end LIBOR rate resulting in additional interest expense of $0 and $5,632, respectively, during the three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and nine months ended September 30, 2022. On March 28, 2022 the Interest Rate Swap was terminated. Upon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termination the Company received a cash payment of $294,000, which is reflected as a gain on the interest rate swap</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5,235,600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on the statement of operations for the nine months ended September 30, 2022.</w:t>
            </w:r>
          </w:p>
        </w:tc>
        <w:tc>
          <w:tcPr>
            <w:tcW w:w="14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5,714,526</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5,868,145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800" w:type="dxa"/>
            <w:vAlign w:val="bottom"/>
            <w:gridSpan w:val="2"/>
          </w:tcPr>
          <w:p>
            <w:pPr>
              <w:spacing w:after="0"/>
              <w:rPr>
                <w:sz w:val="20"/>
                <w:szCs w:val="20"/>
                <w:color w:val="auto"/>
              </w:rPr>
            </w:pPr>
            <w:r>
              <w:rPr>
                <w:rFonts w:ascii="Arial" w:cs="Arial" w:eastAsia="Arial" w:hAnsi="Arial"/>
                <w:sz w:val="16"/>
                <w:szCs w:val="16"/>
                <w:color w:val="auto"/>
              </w:rPr>
              <w:t>Discount</w:t>
            </w:r>
          </w:p>
        </w:tc>
        <w:tc>
          <w:tcPr>
            <w:tcW w:w="1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color w:val="auto"/>
              </w:rPr>
              <w:t>(45,142)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(46,012)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of discount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5,669,384</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5,822,133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5,712,627</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6"/>
                <w:szCs w:val="16"/>
                <w:color w:val="auto"/>
              </w:rPr>
              <w:t>Long-term maturities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5,409,172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5,714,526</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long-term notes payable as of September 30, 2022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ended September 30,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5,712,627</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2024</w:t>
            </w:r>
          </w:p>
        </w:tc>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1,899</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2026</w:t>
            </w:r>
          </w:p>
        </w:tc>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2027</w:t>
            </w:r>
          </w:p>
        </w:tc>
        <w:tc>
          <w:tcPr>
            <w:tcW w:w="23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2"/>
          </w:tcPr>
          <w:p>
            <w:pPr>
              <w:ind w:left="2740"/>
              <w:spacing w:after="0"/>
              <w:rPr>
                <w:sz w:val="20"/>
                <w:szCs w:val="20"/>
                <w:color w:val="auto"/>
              </w:rPr>
            </w:pPr>
            <w:r>
              <w:rPr>
                <w:rFonts w:ascii="Arial" w:cs="Arial" w:eastAsia="Arial" w:hAnsi="Arial"/>
                <w:sz w:val="18"/>
                <w:szCs w:val="18"/>
                <w:color w:val="auto"/>
              </w:rPr>
              <w:t>Total</w:t>
            </w:r>
          </w:p>
        </w:tc>
        <w:tc>
          <w:tcPr>
            <w:tcW w:w="2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5,714,526</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80" w:type="dxa"/>
            <w:vAlign w:val="bottom"/>
            <w:vMerge w:val="restart"/>
          </w:tcPr>
          <w:p>
            <w:pPr>
              <w:jc w:val="right"/>
              <w:ind w:right="970"/>
              <w:spacing w:after="0"/>
              <w:rPr>
                <w:sz w:val="20"/>
                <w:szCs w:val="20"/>
                <w:color w:val="auto"/>
              </w:rPr>
            </w:pPr>
            <w:r>
              <w:rPr>
                <w:rFonts w:ascii="Arial" w:cs="Arial" w:eastAsia="Arial" w:hAnsi="Arial"/>
                <w:sz w:val="18"/>
                <w:szCs w:val="18"/>
                <w:color w:val="auto"/>
              </w:rPr>
              <w:t>21</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5"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 LIABILITIES - FINANCING LEASES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September 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color w:val="auto"/>
                <w:w w:val="91"/>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Financing lease obligation under a lease agreement for a forklift dated July 12, 2021 in the original amount of $16,070</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payable in thirty-six monthly installments of $489 including interest at the rate of 6.01%. During the three months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1"/>
              </w:rPr>
              <w:t>ended September 30, 2022, the Company made principal and interest payments on this lease obligation in the amounts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of $1,307 and $159, respectively. During the nine months ended September 30, 2022, the Company made principal</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and interest payments on this lease obligation in the amounts of $3,865 and $536,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Financing lease obligation under a lease agreement for a pallet truck dated July 15, 2021 in the original amount of</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$5,816 payable in thirty-six monthly installments of $177 including interest at the rate of 6.01%. During the three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months ended September 30, 2022, the Company made principal and interest payments on this lease obligation in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amounts of $473 and $58, respectively. During the nine months ended September 30, 2022, the Company made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principal and interest payments on this lease obligation in the amounts of $1,398 and $194,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Financing lease obligation under a lease agreement for warehouse furniture and equipment truck dated October 14,</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2020 in the original amount of $514,173 payable in sixty monthly installments of $9,942 including interest at the rate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of 6.01%. During the three months ended September 30, 2022, the Company made principal and interest payments on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this lease obligation in the amount of $24,672 and $5,153, respectively. During the nine months ended September 30,</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2022, the Company made principal and interest payments on this lease obligation in the amount of $72,920 and</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$16,556,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326,768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Financing lease obligation under a lease agreement for a truck dated March 31, 2020 in the original amount of</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$152,548 payable in eighty-four monthly installments of $2,188 including interest at the rate of 5.44%. During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three months ended September 30, 2022, the Company made principal and interest payments on this lease obligation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in the amounts of $5,118 and $1,447, respectively. During the nine months ended September 30, 2022, the Company</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made principal and interest payments on this lease obligation in the amounts of $15,147 and $4,546,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102,873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Financing lease obligation under a lease agreement for a truck dated November 5, 2018 in the original amount of</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$128,587 payable in seventy monthly installments of $2,326 including interest at the rate of 8.33%. During the three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months ended September 30, 2022, the Company made principal and interest payments on this lease obligation in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amounts of $5,869 and $1,109, respectively. During the nine months ended September 30, 2022, the Company made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principal and interest payments on this lease obligation in the amounts of $17,247 and $3,684,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Financing lease obligation under a lease agreement for a truck dated August 23, 2019 in the original amount of</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$80,413 payable in eighty-four monthly installments of $1,148 including interest at the rate of 5.0%. During the three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months ended September 30, 2022, the Company made principal and interest payments on this lease obligation in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amounts of $2,821 and $623, respectively. During the nine months ended September 30, 2022, the Company made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principal and interest payments on this lease obligation in the amounts of $8,358 and $1,974,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47,965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Financing lease obligation under a lease agreement for a truck dated February 4, 2022 in the original amount of</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$42,500 payable in twenty-four monthly installments of $1,963 including interest at the rate of 10.1%. During the</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2"/>
              </w:rPr>
              <w:t>three months ended September 30, 2022, the Company made principal and interest payments on this lease obligation</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4"/>
              </w:rPr>
              <w:t>in the amounts of $5,022 and $868, respectively. During the nine months ended September 30, 2022, the Company</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30,976</w:t>
            </w:r>
          </w:p>
        </w:tc>
        <w:tc>
          <w:tcPr>
            <w:tcW w:w="3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made principal and interest payments on this lease obligation in the amounts of $11,524 and $2,219, respectively.</w:t>
            </w:r>
          </w:p>
        </w:tc>
        <w:tc>
          <w:tcPr>
            <w:tcW w:w="14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571,104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Current portion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188,818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Arial" w:cs="Arial" w:eastAsia="Arial" w:hAnsi="Arial"/>
                <w:sz w:val="16"/>
                <w:szCs w:val="16"/>
                <w:color w:val="auto"/>
              </w:rPr>
              <w:t>Long-term maturities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382,286</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571,104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lease liabilities – financing leases as of September 30, 2022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period ended September 30,</w:t>
      </w:r>
    </w:p>
    <w:p>
      <w:pPr>
        <w:spacing w:after="0" w:line="239" w:lineRule="exact"/>
        <w:rPr>
          <w:sz w:val="20"/>
          <w:szCs w:val="20"/>
          <w:color w:val="auto"/>
        </w:rPr>
      </w:pPr>
    </w:p>
    <w:tbl>
      <w:tblPr>
        <w:tblLayout w:type="fixed"/>
        <w:tblInd w:w="2740" w:type="dxa"/>
        <w:tblCellMar>
          <w:top w:w="0" w:type="dxa"/>
          <w:left w:w="0" w:type="dxa"/>
          <w:bottom w:w="0" w:type="dxa"/>
          <w:right w:w="0" w:type="dxa"/>
        </w:tblCellMar>
      </w:tblP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188,818</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183,361</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151,984</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36,148</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10,793</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571,104</w:t>
            </w:r>
          </w:p>
        </w:tc>
        <w:tc>
          <w:tcPr>
            <w:tcW w:w="6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of shares to officers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nine months ended September 30, 2022 in connection with stock based compensation based upon the terms of employment agreements with its employees and compensation agreements with the Company’s independent board members, the Company charged to operations the amount of $30,000 for the vesting of a total of 77,440 shares of common stock issuable to two of its independent board members, and $421,200 for the vesting of a total of 1,483,517 shares of common stock issuable to its Chief Executive Officer pursuant to his employment agreement. The Company also recognized non-cash compensation in the amount of $6,978 during the nine months ended September 30, 2022 in connection with stock options issuable to management and board members.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 of shares to officers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September 30, 2021 in connection with stock based compensation based upon the terms of employment agreements with its employees and compensation agreements with the Company’s independent board members, the Company charged to operations the amount of $67,500 for the vesting of a total of 150,210 shares of common stock issuable to two of its independent board members, and $300,796 for the vesting of a total of 776,611 shares of common stock issuable to its Chief Executive Officer and its Director of Strategic Acquisitions pursuant to their employment agreements. The Company also recognized non-cash compensation in the amount of $107,836 during the nine months ended September 30, 2021 in connection with stock options issuable to management and board members.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2021, the Company issued 50,000 two-year stock options with a fair value of $2,270 and an exercise price of $1.20 to a director.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26, 2021, the Company sold a total of 3,125,000 shares of common stock at a price of $0.40 per share to an entity controlled by Hank Cohn, a director of the Company; the Company sold 3,125,000 shares of common stock at a price of $0.40 per share to an entity controlled by Jefferson Gramm, a director of the Company; and the Company sold 3,125,000 shares of common stock at a price of $0.40 per share to an entity controlled by James C. Pappas, a director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Contingent Liability</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igourmet Asset Purchase Agreement, the Company recorded contingent liabilities in the original amount of $787,800. This amount relates to certain performance-based payments over the twenty-four months following the acquisition date as well as to certain additional liabilities that the Company has evaluated and has recorded on a contingent basis. During the year ended December 31, 2018, the Company reduced this amount by $392,900 as the performance goals for the first year were not met. During the year ended December 31, 2019, the Company reduced this amount by $132,300 as the performance goals for the second year were not met. During the year ended December 31, 2019, the Company paid the amount of $39,000 in connection with the additional liabilities. During the three and nine months ended September 30, 2022, the Company paid the amount of $0 and $8,000, respectively, in connection with the additional liabilities. At September 30, 2022 and December 31, 2021, the amount of $67,000 remains on the Company’s consolidated balance sheet as a current contingent liability, and $108,600 as a long term contingent liability.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Pursuant to the Mouth Foods LLC Asset Acquisition, the Company recorded contingent liabilities in the amount of $240,576. These amounts relate to the estimate of certain performance-based payments following the acquisition date as well as to certain additional liabilities that the Company has evaluated and has recorded on a contingent basis. During the year ended December 31, 2019, the Company paid the amount of $120,576 in connection with these liabilities. At September 30, 2022 and December 31, 2021, $120,000 is classified as a current contingent liability and is included in accounts payable and accrued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License Agreements</w:t>
      </w:r>
    </w:p>
    <w:p>
      <w:pPr>
        <w:spacing w:after="0" w:line="22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wholly-owned subsidiaries, Innovative Gourmet LLC and Food Innovations, Inc. Since that time, other parties involved in the incident have joined as plaintiffs in the PA Action. The complaint in the PA Action alleges, inter alia, wrongful death and negligence by a driver employed by Innovative 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2022 and December 31, 2021, a total of 2,837,580 shares are deemed issued but not outstanding by the Company. These include 2,623,171 shares of treasury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During the nine months ended September 30, 2022 in connection with stock based compensation based upon the terms of employment agreements with its employees and compensation agreements with the Company’s independent board members, the Company charged to operations the amount of $30,000 for the vesting of a total of 77,440 shares of common stock issuable to two of its independent board members, and $421,200 for the vesting of a total of 1,483,517 shares of common stock issuable to its Chief Executive Officer pursuant to his employment agreement. The Company also recognized non-cash compensation in the amount of $6,978 during the nine months ended September 30, 2022 in connection with stock options issuable to management and board members.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On April 8, 2022, the Company issued 33,445 shares with a value of $11,405 to an employee as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25, 2022, the Company issued 142,857 shares with a value of $48,543 to a service provider.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26, 2021, the Company entered into a Securities Purchase Agreement (the “SPA”) with each of JCP Investment Partnership LP, Bandera Master Fund LP and SV Asset Management LLC (collectively, the “Investors”). Pursuant to the SPA, each Investor purchased 3,125,000 shares of the Company’s common stock for an aggregate of 9,375,000 shares from the Company at a price of $0.40 per share. The Company received $3,580,372 proceeds from the sale of the shares, net of costs in the amount of $169,628. JCP Investment Partnership, LP is controlled by James C. Pappas, a director of the Company; Bandera Master Fund LP is controlled by Jefferson Gramm, a director of the Company; and SV Asset Management LLC is controlled by Hank Cohn, a director of the Company.</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nine months ended September 30, 2021 in connection with stock based compensation based upon the terms of employment agreements with its employees and compensation agreements with the Company’s independent board members, the Company charged to operations the amount of $67,500 for the vesting of a total of 150,210 shares of common stock issuable to two of its independent board members, and $300,796 for the vesting of a total of 776,611 shares of common stock issuable to its Chief Executive Officer and its Director of Strategic Acquisitions pursuant to their employment agreements. The Company also recognized non-cash compensation in the amount of $107,836 during the nine months ended September 30, 2021 in connection with stock options issuable to management and board members.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options outstanding at September 30, 2022 and the related prices for the options to purchase shares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issued by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Weighted</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average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average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83"/>
              </w:rPr>
              <w:t>exercise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exercise</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Range of</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91"/>
              </w:rPr>
              <w:t>Remaining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price of</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price of</w:t>
            </w:r>
          </w:p>
        </w:tc>
      </w:tr>
      <w:tr>
        <w:trPr>
          <w:trHeight w:val="216"/>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exercise</w:t>
            </w:r>
          </w:p>
        </w:tc>
        <w:tc>
          <w:tcPr>
            <w:tcW w:w="1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options</w:t>
            </w: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contractual</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outstanding</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options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exercisable</w:t>
            </w:r>
          </w:p>
        </w:tc>
      </w:tr>
      <w:tr>
        <w:trPr>
          <w:trHeight w:val="234"/>
        </w:trPr>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8"/>
              </w:rPr>
              <w:t>Prices</w:t>
            </w:r>
          </w:p>
        </w:tc>
        <w:tc>
          <w:tcPr>
            <w:tcW w:w="2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180" w:type="dxa"/>
            <w:vAlign w:val="bottom"/>
          </w:tcPr>
          <w:p>
            <w:pPr>
              <w:spacing w:after="0"/>
              <w:rPr>
                <w:sz w:val="20"/>
                <w:szCs w:val="20"/>
                <w:color w:val="auto"/>
              </w:rPr>
            </w:pPr>
          </w:p>
        </w:tc>
        <w:tc>
          <w:tcPr>
            <w:tcW w:w="12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8"/>
              </w:rPr>
              <w:t>life (years)</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8"/>
              </w:rPr>
              <w:t>Options</w:t>
            </w:r>
          </w:p>
        </w:tc>
        <w:tc>
          <w:tcPr>
            <w:tcW w:w="3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20"/>
                <w:szCs w:val="20"/>
                <w:color w:val="auto"/>
              </w:rPr>
            </w:pPr>
          </w:p>
        </w:tc>
      </w:tr>
      <w:tr>
        <w:trPr>
          <w:trHeight w:val="210"/>
        </w:trPr>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1.57</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0.41</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r>
      <w:tr>
        <w:trPr>
          <w:trHeight w:val="216"/>
        </w:trPr>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0.50</w:t>
            </w:r>
          </w:p>
        </w:tc>
        <w:tc>
          <w:tcPr>
            <w:tcW w:w="1700" w:type="dxa"/>
            <w:vAlign w:val="bottom"/>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1.57</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0.50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125,000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r>
      <w:tr>
        <w:trPr>
          <w:trHeight w:val="216"/>
        </w:trPr>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3.25</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0.60</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r>
      <w:tr>
        <w:trPr>
          <w:trHeight w:val="216"/>
        </w:trPr>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0.62</w:t>
            </w:r>
          </w:p>
        </w:tc>
        <w:tc>
          <w:tcPr>
            <w:tcW w:w="1700" w:type="dxa"/>
            <w:vAlign w:val="bottom"/>
          </w:tcPr>
          <w:p>
            <w:pPr>
              <w:jc w:val="right"/>
              <w:spacing w:after="0"/>
              <w:rPr>
                <w:sz w:val="20"/>
                <w:szCs w:val="20"/>
                <w:color w:val="auto"/>
              </w:rPr>
            </w:pPr>
            <w:r>
              <w:rPr>
                <w:rFonts w:ascii="Arial" w:cs="Arial" w:eastAsia="Arial" w:hAnsi="Arial"/>
                <w:sz w:val="18"/>
                <w:szCs w:val="18"/>
                <w:color w:val="auto"/>
              </w:rPr>
              <w:t>360,000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1.25</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0.62</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360,000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0.62</w:t>
            </w:r>
          </w:p>
        </w:tc>
      </w:tr>
      <w:tr>
        <w:trPr>
          <w:trHeight w:val="216"/>
        </w:trPr>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1.25</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6"/>
              </w:rPr>
              <w:t>0.85</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r>
      <w:tr>
        <w:trPr>
          <w:trHeight w:val="216"/>
        </w:trPr>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70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3.25</w:t>
            </w: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1.00</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43,750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1.15</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1.20</w:t>
            </w:r>
          </w:p>
        </w:tc>
        <w:tc>
          <w:tcPr>
            <w:tcW w:w="1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0"/>
        </w:trPr>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2,300,000</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1.33</w:t>
            </w:r>
          </w:p>
        </w:tc>
        <w:tc>
          <w:tcPr>
            <w:tcW w:w="180" w:type="dxa"/>
            <w:vAlign w:val="bottom"/>
          </w:tcPr>
          <w:p>
            <w:pPr>
              <w:spacing w:after="0"/>
              <w:rPr>
                <w:sz w:val="18"/>
                <w:szCs w:val="18"/>
                <w:color w:val="auto"/>
              </w:rPr>
            </w:pPr>
          </w:p>
        </w:tc>
        <w:tc>
          <w:tcPr>
            <w:tcW w:w="1360" w:type="dxa"/>
            <w:vAlign w:val="bottom"/>
          </w:tcPr>
          <w:p>
            <w:pPr>
              <w:jc w:val="right"/>
              <w:ind w:right="117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0.93</w:t>
            </w:r>
          </w:p>
        </w:tc>
        <w:tc>
          <w:tcPr>
            <w:tcW w:w="18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2,287,500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0.93</w:t>
            </w: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Transactions involving stock options are summarized as follows: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Weighted Average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Exercise 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Exercised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Cancelled / Expired</w:t>
            </w:r>
          </w:p>
        </w:tc>
        <w:tc>
          <w:tcPr>
            <w:tcW w:w="1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September 30, 2022 (unaudited)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2,300,000</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tcPr>
          <w:p>
            <w:pPr>
              <w:ind w:left="1100"/>
              <w:spacing w:after="0" w:line="196" w:lineRule="exact"/>
              <w:rPr>
                <w:sz w:val="20"/>
                <w:szCs w:val="20"/>
                <w:color w:val="auto"/>
              </w:rPr>
            </w:pPr>
            <w:r>
              <w:rPr>
                <w:rFonts w:ascii="Arial" w:cs="Arial" w:eastAsia="Arial" w:hAnsi="Arial"/>
                <w:sz w:val="18"/>
                <w:szCs w:val="18"/>
                <w:color w:val="auto"/>
              </w:rPr>
              <w:t>Options exercisable at September 30, 2022 (unaudited)</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2,287,500</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0.93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Aggregate intrinsic value of options outstanding and exercisable at September 30, 2022 and 2021 was $0. Aggregate intrinsic value represents the difference between the Company’s closing stock price on the last trading day of the fiscal period, which was $0.19 and $0.49 as of September 30, 2022 and 2021, respectively, and the exercise price multiplied by the number of options outstanding.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September 30, 2022 and 2021, the Company charged $2,326 and $35,878, respectively, to operations to recognized stock-based compensation expense for employee and board member stock options.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2022 and 2021, the Company charged $6,978 and $107,836, respectively, to operations to recognized stock-based compensation expense for employee and board member stock options; the Company also charged $2,092 and $0, respectively, to operations to recognize the fair value of options issued to a service provider.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disclosed, in June 2022 we entered into three secured loan facilities with MapleMark Bank consisting of a $7,775,680 USDA B&amp;I loan, a $2,680,000 USDA Food and Supply note, and a $3,000,000 Revolving Line of Credit, with total approved proceeds of $13,450,680, of which only $7,695,867 has been funded to date as the remaining funds are contingent of final USDA approval (the “MMB Facilities”). The MMB Facilities were originally approved as a 6-month bridge facility until full USDA approval was obtained. Due to the nationwide backup on USDA approvals, such approval has not been opened. Accordingly, by memo dated October 15, 2022, the Company was advised that, effective November 28, 2022, the current maturity date of the MMB Facilities, the MMB Facilities would be extended for 90 days. We anticipate that loan modification agreements will be signed shortly as well.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72" w:lineRule="exact"/>
        <w:rPr>
          <w:sz w:val="20"/>
          <w:szCs w:val="20"/>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raise capital necessary to sustain our anticipated operations and implement our business plan,</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plan,</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generate sufficient cash to pay our lenders and other creditors,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one major customer,</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employ and retain qualified management and employees,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the efforts and abilities of our current employees and executive officers,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government regulations that are applicable to our current or anticipated business,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demand for our services and different food trends,</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lack of diversification of our business plan,</w:t>
      </w:r>
    </w:p>
    <w:p>
      <w:pPr>
        <w:spacing w:after="0" w:line="225" w:lineRule="exact"/>
        <w:rPr>
          <w:rFonts w:ascii="Arial" w:cs="Arial" w:eastAsia="Arial" w:hAnsi="Arial"/>
          <w:sz w:val="18"/>
          <w:szCs w:val="18"/>
          <w:color w:val="auto"/>
        </w:rPr>
      </w:pPr>
    </w:p>
    <w:p>
      <w:pPr>
        <w:ind w:left="400" w:hanging="397"/>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general volatility of the capital markets and the establishment of a market for our shares, and</w:t>
      </w:r>
    </w:p>
    <w:p>
      <w:pPr>
        <w:spacing w:after="0" w:line="225" w:lineRule="exact"/>
        <w:rPr>
          <w:rFonts w:ascii="Arial" w:cs="Arial" w:eastAsia="Arial" w:hAnsi="Arial"/>
          <w:sz w:val="18"/>
          <w:szCs w:val="18"/>
          <w:color w:val="auto"/>
        </w:rPr>
      </w:pPr>
    </w:p>
    <w:p>
      <w:pPr>
        <w:jc w:val="both"/>
        <w:ind w:left="400" w:right="20" w:hanging="397"/>
        <w:spacing w:after="0" w:line="263" w:lineRule="auto"/>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environmental weather conditions.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Doubtful Accounts Receivable</w:t>
      </w:r>
    </w:p>
    <w:p>
      <w:pPr>
        <w:spacing w:after="0" w:line="229"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 maintained an allowance in the amount of $365,651 for doubtful accounts receivable at September 30, 2022, and $375,931 at December 31, 2021.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Delaware corporation, for 500,000 shares of our common stock.</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November 2, 2012, the Company entered into an asset purchase agreement (the “Haley Acquisition”) with The Haley Group, LLC whereby we acquired all existing assets of The Haley Group, LLC and its customers. The Haley Acquisition was valued at a total cost of $119,645.</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30, 2014, pursuant to a purchase agreement, the Company purchased 100% of the membership interest of Organic Food Brokers, LLC, a Colorado limited liability company (“OFB”), for $300,000, 100,000 four-year options at a price of $1.46 per share, and up to an additional $225,000 in earn-outs if certain milestones are met.</w:t>
      </w:r>
    </w:p>
    <w:p>
      <w:pPr>
        <w:spacing w:after="0" w:line="18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Pursuant to an Asset Purchase Agreement dated as of January 1, 2017 the Company’s wholly-owned subsidiary, Oasis Sales Corp. (“Oasis”), purchased substantially all of the assets of Oasis Sales and Marketing, L.L.C. for $300,000 cash; a $200,000 structured equity instrument which can be paid in cash or shares of the Company stock at the Company’s option, anytime under certain conditions, or is automatically payable via the issuance of 200,000 shares if the Company’s shares close above $1.00 for ten consecutive days; a $100,000 note; and up to an additional $400,000 in earn-outs over two years if certain milestones are met. The Agreement also contains claw-back provisions if certain revenue conditions are not met.</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August 15, 2014, pursuant to a merger agreement, the Company acquired The Fresh Diet, Inc. (“FD”). Effective February 23, 2016, the Company closed a transaction to sell 90% of our ownership in FD for consideration consisting primarily of a restructuring of our loans, which includes the ability to convert to additional amounts of FD under certain circumstances. There is no continuing cash inflows or outflows from or to the discontinued operations.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Effective January 24, 2018, pursuant to an asset acquisition agreement (the “igourmet Asset Acquisition Agreement”), our wholly-owned subsidiary, Innovative Gourmet, LLC acquired substantially all of the assets and certain liabilities of igourmet LLC and igourmet NY LLC, privately-held New York limited liability companies located in West Pittston, Pennsylvania and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 The consideration for and in connection with the acquisition consisted of: (i) $1,500,000, which satisfied or reduced secured, priority and administrative debt of Sellers; (ii) in connection with and prior to the acquisition, our wholly-owned subsidiary, Food Funding, LLC (“Food Funding”), funded advances of $325,000 to Sellers on a secured basis, pursuant to certain loan documents and as bridge loans, which loans were reduced by the proceeds of the Asset Purchase Agreement;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EBITDA based earnout shall be paid 37.5% in cash, 25% in IVFH shares valued at the time of the closing of this transaction and 37.5%, at Innovative Gourmet’s option, in IVFH shares valued at the time of the payment of the earnout or in cash. The 2018, 2019 and 2020 earnout milestones were not met. In connection with the acquisition, our wholly owned subsidiary, Food Funding, purchased Seller’s senior secured note at a price of approximately $1,187,000, pursuant to the terms of a Loan Sale Agreement with UPS Capital Business Credit. That note was reduced by the proceeds of the Asset Purchase Agreement. See Item (i)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Effective July 6, 2018, pursuant to an asset purchase agreement between Mouth Foods, Inc. (“Mouth”) and our wholly owned subsidiary M Innovations LLC (“M Innovations”) (the “MFI APA”), the Company acquired certain assets of Mouth from MFI (assignment for the benefit of creditors), LLC, in connection with a Delaware assignment proceeding. The MFI APA was accounted for as an acquisition of an ongoing business where the Company was treated as the acquirer and the acquired assets and assumed liabilities were recorded by the Company at their preliminary estimated fair values. Mouth, a privately held New York company operating out of Brooklyn, was an expert curator and online retailer of high quality specialty foods from small-batch makers in the US. 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 Major Customer</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Transactions with a major customer and related economic dependence information is set forth immediately below and above in Note 2 to the Condensed Consolidated Financial Statements and also in our Annual Report on Form 10-K for the year ended December 31, 2021 (1) following our discussion of Liquidity and Capital Resources, and (2) in Note 18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U.S. Foods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historically sold the majority of our products through a distributor relationship between FII and Next Day Gourmet, L.P., a subsidiary of U.S. Foods, a leading broadline distributor. These sales amounted to $10,672,314 (53% of total sales) and $7,978,329 (52% of total sales) for the three months ended September 30, 2022 and 2021, respectively. These sales amounted to $28,529,703 (51% of total sales) and $20,082,836 (48% of total sales) for the nine months ended September 30, 2022 and 2021, respectively. On January 26, 2015 we executed a contract between Food Innovations, Inc., our wholly owned subsidiary, and U.S. Foods, Inc. The term of the Agreement is from January 1, 2015 through December 31, 2016 and provides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discussion may contain forward looking statements that involve risks and uncertainties. Our future results could differ materially from the forward looking statements discussed in this report. This discussion should be read in conjunction with our consolidated financial statements, the notes thereto and other financial information included elsewhere in the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2022 Compared to Three Months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Revenue increased by $4,852,629 or approximately 32% to $20,059,982 for the three months ended September 30, 2022 from $15,207,353 prior year. The increase in revenues is primarily attributable to an increase in specialty foodservice revenues which was driven by the nationwide opening of restaurants and other foodservice establishments previously affected by COVID-19 as well as increases in travel related foodservice, and restaurant dining. The increase in specialty foodservice revenue was partially offset with decreases in e-commerce revenues. The decrease in e-commerce revenue during the current period was related to decreases in COVID-19 driven demand in 2022 compared to 2021 partially driven by the continued re-opening of bricks and mortar stores, and by decreases in digital marketing related in part to a more challenging digital marketing environment as compared to 2021 which has been driven partially by industrywide marketing challenges related to expanded privacy rules that significantly reduce data sharing.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cost of goods sold for the three months ended September 30, 2022 was $15,546,132, an increase of $4,118,789 or approximately 36% compared to cost of goods sold of $11,427,343 for the three months ended September 30, 2021. The increase in cost of goods sold is attributed mainly to increases in revenues. Cost of goods sold was made up of the following expenses for the three months ended September 30, 2022: cost of goods of specialty, meat, game, cheese, seafood, poultry and other sales categories in the amount of $10,668,051; shipping, delivery, handling, and purchase allowance expenses in the amount of $4,753,816; and cost of goods associated with logistics of $124,265. Gross margins as a percentage of sales declined during the current period to 22.5% compared to 24.9% during the comparable period, primarily due to variation in product and revenue mix across our various selling channels, increases in fuel costs and fuel surcharges associated with the higher cost of fuel in the United States and higher shipping costs contributed to the decline in gross margins as a percentage of sales.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2022, we continue to price our products in order to increase sales, gain market share and increase the number of our end users and customers. We currently expect, if market conditions, overall economic conditions, and our product revenue mix remain constant, that our cost of goods sold may increase and may result in a decrease in profit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Selling, general, and administrative expenses decreased by $677,692 or approximately 14% to $4,320,981 during the three months ended September 30, 2022 compared to $4,998,673 for the three months ended September 30, 2021. The decrease in selling, general, and administrative expenses was primarily due to a decrease in payroll and related costs in the amount of $301,946 and a decrease in advertising and digital marketing costs of $355,378. Other components of the decrease in sales, general, and administrative expenses include a decrease in computer and IT costs of $22,113; a decrease in professional and legal fees of $20,587, and a decrease in banking and credit card fees of $15,736; and a decrease in insurance costs of $7,092. These decreases were partially offset by an increase in travel and entertainment costs of $17,903, an increase in office &amp; facilities costs of $16,432, and an increase in taxes of $11,124. The decrease in sales, general, and administrative expenses represent the results of our overall cost-cutting efforts as well as the restructuring of our marketing and advertising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forgiveness of debt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September 30, 2021, the Company recorded a gain on forgiveness of debt in connection with the IVFH PPP Loan in the amount of $1,665,818, consisting of $1,650,221 of principal and $15,597 of accrued interest. There was no comparable transaction in the current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September 30, 2022, the Company recognized income in the amount of $785 in connection with the lease of space in our Mountaintop warehouse facility, a decrease of $1,115 or approximately 59% compared to $1,900 during the three months ended September 30,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Interest expense, net of interest income, increased by $101,879 or approximately 124% to $183,908 during the three months ended September 30, 2022, compared to $82,029 during the three months ended September 30, 2021. Interest accrued or paid on the Company’s commercial loans and notes payable increased by $54,646 to $135,562 during the current period primarily as a result of increases in interest rates. Interest income was $1,999 for the three months ended September 30, 2022, an increase of $141 compared to interest income of $2,140 during the prior period due to lower cash balances. Interest on the Company’s note payable was $96 for the three months ended September 30, 2022 and 2021. Interest expense associated with the amortization of loan fees was $50,036 during the three months ended September 30, 2022, an increase of $46,879 compared to $3,157 during the prior period; the increase was due to loan fees associated with the MapleMark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income</w:t>
      </w:r>
    </w:p>
    <w:p>
      <w:pPr>
        <w:spacing w:after="0" w:line="22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For the reasons above, the Company had net income for the three months ended September 30, 2022 of $9,746 which is a decrease of $357,280 or 97% compared to a net income of $367,026 during the three months ended September 30, 2021. The net income for the three months ended September 30, 2022 includes a total of $350,310 in non-cash charges, including non-cash compensation in the amount of $152,726, depreciation and amortization expense of $144,109, amortization of prepaid loan fees in the amount of $50,036, and provision for doubtful accounts of $3,437.</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net income for the three months ended September 30, 2021 includes a one-time gain of $1,665,818 consisting of $1,650,221 of principal and $15,597 of accrued interest related to forgiveness of the IVFH PPP Loan and a total of $304,098 in non-cash charges, including depreciation and amortization expense of $135,731, non-cash compensation in the amount of $160,752, amortization of the discount on notes payable of $3,157, and provision for doubtful accounts of $4,456.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2022 Compared to Nine Months Ended September 30,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Revenue increased by $14,863,433 or approximately 36% to $56,226,249 for the nine months ended September 30, 2022 from $41,362,816 prior year. The increase in revenues is primarily attributable to an increase in specialty foodservice revenues which was driven by the nationwide opening of restaurants and other foodservice establishments previously affected by COVID-19 as well as increases in travel related foodservice, and restaurant dining. The increase in specialty foodservice revenue was partially offset with decreases in e-commerce revenues. The decreases in e-commerce revenues during the current period were related to decreases in COVID-19 driven demand in 2022 compared to 2021 and also by lower recognized revenue in the first quarter of 2022, due to a decline in the value of recognized deferred revenue associated with items ordered in the 4th quarter of the prior year but delivered in the first quarter of the following year. E-commerce revenues were also driven lower by the continued re-opening of bricks and mortar stores, and in part to a more challenging digital marketing environment as compared to 2021 due to industrywide marketing challenges related to expanded privacy rules that significantly reduce data sharing.</w:t>
      </w:r>
    </w:p>
    <w:p>
      <w:pPr>
        <w:spacing w:after="0" w:line="1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goods sold</w:t>
      </w:r>
    </w:p>
    <w:p>
      <w:pPr>
        <w:spacing w:after="0" w:line="22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Our cost of goods sold for the nine months ended September 30, 2022 was $43,537,570, an increase of $13,066,169 or approximately 43% compared to cost of goods sold of $30,471,401 for the nine months ended September 30, 2021. The increase in cost of goods sold which also included inventory adjustment expenses of $316,666, is attributed mainly to increases in revenues. Cost of goods sold was made up of the following expenses for the nine months ended September 30, 2022: cost of goods of specialty, meat, game, cheese, seafood, poultry and other sales categories in the amount of $29,868,964; shipping, delivery, handling, and purchase allowance expenses in the amount of $13,270,633; and cost of goods associated with logistics of $397,973. Gross margins as a percentage of sales declined during the current period to 22.6% compared to 26.3% during the comparable period, primarily due to variation in product and revenue mix across our various selling channels, increases in fuel costs and fuel surcharges associated with the higher cost of fuel in the United States and higher shipping costs contributed to the decline in gross margins as a percentage of sales.</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2022, we continue to price our products in order to increase sales, gain market share and increase the number of our end users and customers. We currently expect, if market conditions, overall economic conditions, and our product revenue mix remain constant, that our cost of goods sold may increase and may result in a decrease in profit margin.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Selling, general, and administrative expenses increased by $502,653 or approximately 3% to $15,015,456 during the nine months ended September 30, 2022 compared to $14,512,803 for the nine months ended September 30, 2021. The increase in selling, general, and administrative expenses was primarily due to an increase in advertising and digital marketing costs of $329,945 which includes an expense of $86,866 in digital marketing fees associated with a settlement of digital marketing fees to a service provider, an increase in professional fees of $213,286 (including $188,986 in expenses associated with the MapleMark loan transaction); an increase in office and facilities expenses of $88,478; an increase in travel expenses of $75,334; an increase in computer and IT costs of $46,540;an increase in insurance costs of $33,543; and an increase in depreciation and amortization of $17,294; and an increase in taxes of $9,674. These increases were partially offset by a decrease in payroll and related costs of $111,876 (including an increase in non-cash compensation of $44,086); a decrease in banking and credit card costs of $179,215; and a decrease in provision for doubtful accounts of $20,950. The decreases were driven primarily by our overall cost cutting efforts.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Investment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nine months ended September 30, 2021, the founder of one of the food related companies passed away in an untimely tragic accident, and as a result the food related company ceased operations and the Company recognized an impairment in the amount of $209,850 in connection with that investment. There is no comparable transaction in the current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Interest Rate Swap</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nine months ended September 30, 2022, the Company recognized a gain on the interest rate swap in the amount of $294,000 in connection with the termination of the interest rate swap. There is no comparable transaction in the prior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on extinguishment of debt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nine months ended September 30, 2022, we entered into a revolving line of credit agreement and two term loan agreements with MapleMark Bank, replacing our revolving line of credit and term loans with Fifth Third Bank. We wrote off the existing discounts to the Fifth Third Bank loans in the amount of $40,556 resulting in a loss on extinguishment of debt. There was no comparable transaction during the nine months ended September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 on forgiveness of debt</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nine months ended September 30, 2021, the Company recorded a gain on forgiveness of debt in connection with the IVFH PPP Loan in the amount of $1,665,818, consisting of $1,650,221 of principal and $15,597 of accrued interest. There was no comparable transaction in the current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leasing income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the nine months ended September 30, 2022, the Company recognized income in the amount of $8,169 in connection with the lease of space in our Mountaintop warehouse facility, a decrease of $771 or approximately 9% compared to $8,940 during the nine months ended September 30,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expense, net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expense, net of interest income, increased by $121,364 or approximately 47% to $379,253 during the nine months ended September 30, 2022, compared to $257,889 during the nine months ended September 30, 2021. Interest accrued or paid on the Company’s commercial loans and notes payable increased by $84,925 to $308,489 during the current period primarily as a result of increases in interest rates. Interest on the PPP loans decreased by $10,540 to $0 during the current period compared to $10,540 during the nine months ended September 30, 3021. The Company’s PPP loans have all been forgiven as of September 30, 2022. Interest income was $5,984 for the period ended September 30, 2022, an increase of $423 compared to interest income of $5,561 during the prior period due to higher cash balances. Interest on the Company’s note payable was $282 for the nine months ended September 30, 2022 and 2021. Interest expense associated with the amortization of loan fees was $70,618 during the nine months ended September 30, 2022, an increase of $61,250 compared to $9,368 during the prior period due to loan fees associated with the MapleMark loans.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loss</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reasons above, the Company had a net loss for the nine months ended September 30, 2022 of $2,444,417 which is an increase of $30,048 or 1% compared to a net loss of $2,414,369 during the nine months ended September 30, 2021. The net loss for the nine months ended September 30, 2022 includes a total of $1,066,729 in non-cash charges, including non-cash compensation in the amount of $520,218, depreciation and amortization expense of $423,844, amortization of prepaid loan fees in the amount of $70,618, loss on extinguishment of debt of $40,556, and provision for doubtful accounts of $11,493.</w:t>
      </w:r>
    </w:p>
    <w:p>
      <w:pPr>
        <w:spacing w:after="0" w:line="18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net loss for the nine months ended September 30, 2021 includes a gain of $1,665 in connection with the forgiveness of the IVFH PPP Loan and a total of $1,135,469 in non-cash charges, including impairment of investment of $209,850, depreciation and amortization expense of $407,676, non-cash compensation in the amount of $476,132, amortization of the discount on notes payable of $9,368, and provision for doubtful accounts of $32,443.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at September 30, 2022</w:t>
      </w:r>
    </w:p>
    <w:p>
      <w:pPr>
        <w:spacing w:after="0" w:line="229" w:lineRule="exact"/>
        <w:rPr>
          <w:sz w:val="20"/>
          <w:szCs w:val="20"/>
          <w:color w:val="auto"/>
        </w:rPr>
      </w:pPr>
    </w:p>
    <w:p>
      <w:pPr>
        <w:jc w:val="both"/>
        <w:ind w:right="20"/>
        <w:spacing w:after="0" w:line="275" w:lineRule="auto"/>
        <w:rPr>
          <w:sz w:val="20"/>
          <w:szCs w:val="20"/>
          <w:color w:val="auto"/>
        </w:rPr>
      </w:pPr>
      <w:r>
        <w:rPr>
          <w:rFonts w:ascii="Arial" w:cs="Arial" w:eastAsia="Arial" w:hAnsi="Arial"/>
          <w:sz w:val="17"/>
          <w:szCs w:val="17"/>
          <w:color w:val="auto"/>
        </w:rPr>
        <w:t>As of September 30, 2022 the Company had current assets of $10,696,497 consisting of cash and cash equivalents of $2,752,404, trade accounts receivable of $4,670,645, inventory of $2,937,098, and other current assets of $336,350. Also, at September 30, 2022, the Company had current liabilities of $15,304,111, consisting of trade payable and accrued liabilities of $6,070,249, accrued interest of $18,008, deferred revenue of $1,094,649, line of credit of $2,014,333, notes payable – current portion of $5,667,485, lease liabilities – operating leases, current portion of $63,569, lease liabilities – financing leases, current portion of $188,818, and current portion of contingent liabilities of $187,000.</w:t>
      </w:r>
    </w:p>
    <w:p>
      <w:pPr>
        <w:spacing w:after="0" w:line="17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the nine months ended September 30, 2022, the Company had cash used in operating activities of $2,802,762. Cash used in operations consisted of the Company’s consolidated net loss of $2,444,417 partially offset by stock based compensation in the amount of $520,218, depreciation and amortization of $423,844, amortization of prepaid loan fees of $70,618; amortization of right-to-use asset of $50,821, loss on extinguishment of debt of $40,556, and provision for doubtful accounts of $11,493. The Company’s cash position also decreased due to a change in the components of current assets and liabilities in the amount of $1,475,895.</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cash used in investing activities of $107,045 for the nine months ended September 30, 2022, which consisted of cash paid for the acquisition of property and equipment.</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had cash used in financing activities of $460,460 for the nine months ended September 30, 2022, which consisted of principal payments made on notes payable of $169,696, principal payments on financing leases of $130,459, cost debt financing of $110,305; and payment of offering costs for stock previously accrued of $50,000.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had net working capital deficit of $4,607,614 as of September 30, 2022. The Company used cash in operations during the nine months ended September 30, 2022 in the amount of $2,802,762. This compares to cash used in operations of $5,947,141 during the nine months ended September 30, 2021. On June 6, 2022, the Company completed a financing arrangement with MapleMark Bank, whereby MapleMark provided the company with a revolving credit facility and two term loans in the aggregate amount of $7,695,866. Pursuant to the terms of these loan agreements, the Company has applied for loan guarantees from United States Department of Agriculture. Upon receipt of these guarantees, the revolving loan in the amount of $2,014,333 will be due in 18 months and the term loans in the aggregate amount of $5,681,533 will be due in 30 years, substantially improving the Company’s liquidity. The Company has applied for these guarantees, though there can be no assurance that they will be received.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intends to continue to focus on increasing market share and cash flow from operations by focusing its sales activities on specific market segments and new product lines. As of September 30, 2022, we do not have any material long-term obligations other than those described in Notes 6, 7, 12, 13, and 14 to the financial statements included in this report.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6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Plans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world has been in the grip of a pandemic since March 2020 which has wreaked havoc on economies world-wide, including in the U.S., which is our primary market. As a result of the pandemic, restaurants, hotels, country clubs, casinos, catering houses and other segments of our primary customer base have either closed completely or have only recently begun to open with significantly reduced operations. Accordingly, foodservice revenues, which historically have been a significant portion of our overall revenues had been significantly reduced as most foodservice establishments cross the United States closed or had limited operations. As a result, foodservice revenue commencing in the second half of March 2020 and through the end of 2021 experienced unprecedented declines. In 2022, as the pandemic began to recede and foodservice establishments reopened and travel resumed, we have experienced strong foodservice revenue growth. Concurrently, while ecommerce revenues remained above pre-pandemic historical levels, lower deferred revenues recognized in the nine months of 2022 and decreases in COVID-19 driven demand in 2022 compared to 2021 (partially driven by the continued re-opening of bricks and mortar stores), and an increasingly challenging digital marketing environment fueled by industry-wide marketing challenges, including expanded privacy rules that significantly reduce data sharing.</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2022, we plan to expand our business by expanding our focus on additional specialty foods markets and by leveraging our e-commerce platform to launch and grow new D2C brands and e-commerce sites within targeted consumer areas either organically and/or through acquisition of new D2C brands and e-commerce sites within targeted consumer areas. In addition, we will continue exploring potential acquisition and partnership opportunities with influencers and other celebrities to continue to extend our focus in the specialty food market through the growth of the Company’s existing sales channels and through a variety of additional potential sales channel relationships. Additionally, to further optimize the Company’s return on marketing spend. the company has meaningfully reduced its digital marketing spend in traditional digital marketing channels and focus on increasing our strategic loyalty and retention focused customer experience improvements across our branded online retailers. Additional focus includes further improving the customer experience on our existing food subscription offerings, expanding our traditional monthly subscription offerings and launching a “subscribe and save” subscription offering.</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we are currently exploring the introduction of, or have introduced into the market, a variety of new product categories and new product lines, including private label products and proprietary branded products to leverage our existing foodservice and consumer customer base.</w:t>
      </w:r>
    </w:p>
    <w:p>
      <w:pPr>
        <w:spacing w:after="0" w:line="14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Furthermore, the Company intends to continue to expand its activities in the direct-to-consumer space and the overall consumer packaged goods (CPG) space by leveraging its overall capabilities in the consumer space, including leveraging its direct to consumer e-commerce platform to reach both additional customers in multiple channels, and to expand availability of its e-commerce capabilities to additional products and markets. In addition, the company plans to expand its business to business (B2B) offerings within the ecommerce industry.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also plans on expanding its B2B offerings, including of its managed services which provide a complete customer backend experience solution for small to large brands by leveraging the platform's procurement, logistics and fulfillment capabilities. The Company also manages monthly subscription offerings on behalf of third party B2B clients and the Company plans on expanding this offering in 2022. In addition, the Company is focused on formally launching its B2B managed marketplace offerings, currently in beta testing, in which the Company offers its B2B customers a complete managed solution including warehousing fulfillment and listing management, for third party marketplace for marketplaces such as Amazon, Walmart and other third party marketplaces.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No assurances can be given that any of these plans will come to fruition or that if implemented that they will necessarily yield positive results.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opinion of management, during the nine months ended September 30, 2022, inflation has not had a material effect on the Company’s financial condition or results of its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Company’s business and success is subject to numerous risk factors as detailed in its Annual Report on Form 10-K for the year ended December 31, 2021 and other of its Current Reports on Form 8-K, all of which reports are available at no cost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229"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25" w:lineRule="exact"/>
        <w:rPr>
          <w:sz w:val="20"/>
          <w:szCs w:val="20"/>
          <w:color w:val="auto"/>
        </w:rPr>
      </w:pPr>
    </w:p>
    <w:p>
      <w:pPr>
        <w:jc w:val="both"/>
        <w:ind w:right="20"/>
        <w:spacing w:after="0" w:line="290" w:lineRule="auto"/>
        <w:rPr>
          <w:sz w:val="20"/>
          <w:szCs w:val="20"/>
          <w:color w:val="auto"/>
        </w:rPr>
      </w:pPr>
      <w:r>
        <w:rPr>
          <w:rFonts w:ascii="Arial" w:cs="Arial" w:eastAsia="Arial" w:hAnsi="Arial"/>
          <w:sz w:val="16"/>
          <w:szCs w:val="16"/>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identified a control deficiency regarding the integration of two acquisitions in 2018 and as a result management has concluded our internal control over financial reporting was ineffective at September 30, 2022 at the reasonable assurance level. Management of the Company believes that this deficiency is primarily due to the smaller size of the company’s accounting staff in relation to certain continued system integrations related to the 2018 acquisitions of certain assets of igourmet LLC and Mouth Foods, Inc. To address this matter, we have expanded our accounting staff and we expect to retain additional qualified personnel to continue to remediate this control deficiency in the future. In making this assessment, our management used the criteria set forth by the Committee of Sponsoring Organizations of the Treadway Commission (“COSO”) in Internal Control-Integrated Framework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On September 16, 2019, an action (the “PA Action”) was filed in the Court of Common Pleas of Philadelphia County, Trial Division, against, among others, the Company and its wholly owned subsidiaries, Innovative Gourmet LLC and Food Innovations, Inc. Since that time, other parties involved in the incident have joined as plaintiffs in the PA Action. The complaint in the PA Action alleges, inter alia, wrongful death and negligence by a driver formerly employed by Innovative Gourmet, and plaintiffs filed a demand and offer to settle for fifty million dollars. We expect that should a settlement occur, the amount to resolve the Action would be substantially lower. The Company, its subsidiaries, and their employees had auto and umbrella insurance policies, among others, that were in effect for the relevant period. The Company and its subsidiaries’ insurers have agreed to defend the Company, its subsidiaries and the driver in the PA Action (and related actions),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608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5"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80" w:hanging="674"/>
        <w:spacing w:after="0" w:line="277"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4">
        <w:r>
          <w:rPr>
            <w:rFonts w:ascii="Arial" w:cs="Arial" w:eastAsia="Arial" w:hAnsi="Arial"/>
            <w:sz w:val="18"/>
            <w:szCs w:val="18"/>
            <w:u w:val="single" w:color="auto"/>
            <w:color w:val="0000EE"/>
          </w:rPr>
          <w:t>Articles of Incorporation (incorporated by reference to exhibit 3.1 of the Company’s annual report on Form 10-KSB for the year ended</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December 31, 2004 filed with the Securities and Exchange Commission on September 28, 2005).</w:t>
        </w:r>
      </w:hyperlink>
    </w:p>
    <w:p>
      <w:pPr>
        <w:spacing w:after="0" w:line="170" w:lineRule="exact"/>
        <w:rPr>
          <w:sz w:val="20"/>
          <w:szCs w:val="20"/>
          <w:color w:val="auto"/>
        </w:rPr>
      </w:pPr>
    </w:p>
    <w:p>
      <w:pPr>
        <w:ind w:left="680" w:hanging="674"/>
        <w:spacing w:after="0" w:line="277" w:lineRule="auto"/>
        <w:tabs>
          <w:tab w:leader="none" w:pos="6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55">
        <w:r>
          <w:rPr>
            <w:rFonts w:ascii="Arial" w:cs="Arial" w:eastAsia="Arial" w:hAnsi="Arial"/>
            <w:sz w:val="18"/>
            <w:szCs w:val="18"/>
            <w:u w:val="single" w:color="auto"/>
            <w:color w:val="0000EE"/>
          </w:rPr>
          <w:t>Amended Bylaws of the Company (incorporated by reference to exhibit 3.2 of the Company’s annual report Form 10-K for the year ended</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December 31, 2010 filed with the Securities and Exchange Commission on March 16, 2011).</w:t>
        </w:r>
      </w:hyperlink>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EE"/>
        </w:rPr>
        <w:t>Section 302 Certification</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0000EE"/>
        </w:rPr>
        <w:t>Section 302 Certification</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u w:val="single" w:color="auto"/>
          <w:color w:val="0000EE"/>
        </w:rPr>
        <w:t>Section 906 Certification</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0000EE"/>
        </w:rPr>
        <w:t>Section 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101.INS Inline 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101.SCHInline XBRL Taxonomy Extension Schema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101.CALInline XBRL Taxonomy Extension Calculation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101.DEFInline XBRL Taxonomy Extension Definition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101.LABInline XBRL Taxonomy Extension Label Linkbase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w:t>
      </w:r>
    </w:p>
    <w:p>
      <w:pPr>
        <w:spacing w:after="0" w:line="225" w:lineRule="exact"/>
        <w:rPr>
          <w:sz w:val="20"/>
          <w:szCs w:val="20"/>
          <w:color w:val="auto"/>
        </w:rPr>
      </w:pPr>
    </w:p>
    <w:p>
      <w:pPr>
        <w:ind w:left="5400" w:right="3760" w:hanging="5397"/>
        <w:spacing w:after="0" w:line="527" w:lineRule="auto"/>
        <w:tabs>
          <w:tab w:leader="none" w:pos="684"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696087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5"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84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840" w:type="dxa"/>
            <w:vAlign w:val="bottom"/>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5"/>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Klepfish</w:t>
            </w:r>
          </w:p>
        </w:tc>
        <w:tc>
          <w:tcPr>
            <w:tcW w:w="84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84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November 14, 2022</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Sam Klepfish</w:t>
            </w:r>
          </w:p>
        </w:tc>
        <w:tc>
          <w:tcPr>
            <w:tcW w:w="8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18"/>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Tang</w:t>
            </w:r>
          </w:p>
        </w:tc>
        <w:tc>
          <w:tcPr>
            <w:tcW w:w="84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84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November 14, 2022</w:t>
            </w:r>
          </w:p>
        </w:tc>
      </w:tr>
      <w:tr>
        <w:trPr>
          <w:trHeight w:val="224"/>
        </w:trPr>
        <w:tc>
          <w:tcPr>
            <w:tcW w:w="3840" w:type="dxa"/>
            <w:vAlign w:val="bottom"/>
          </w:tcPr>
          <w:p>
            <w:pPr>
              <w:spacing w:after="0"/>
              <w:rPr>
                <w:sz w:val="20"/>
                <w:szCs w:val="20"/>
                <w:color w:val="auto"/>
              </w:rPr>
            </w:pPr>
            <w:r>
              <w:rPr>
                <w:rFonts w:ascii="Arial" w:cs="Arial" w:eastAsia="Arial" w:hAnsi="Arial"/>
                <w:sz w:val="18"/>
                <w:szCs w:val="18"/>
                <w:color w:val="auto"/>
              </w:rPr>
              <w:t>Richard Tang</w:t>
            </w:r>
          </w:p>
        </w:tc>
        <w:tc>
          <w:tcPr>
            <w:tcW w:w="8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418"/>
        </w:trPr>
        <w:tc>
          <w:tcPr>
            <w:tcW w:w="3840" w:type="dxa"/>
            <w:vAlign w:val="bottom"/>
          </w:tcPr>
          <w:p>
            <w:pPr>
              <w:spacing w:after="0"/>
              <w:rPr>
                <w:sz w:val="24"/>
                <w:szCs w:val="24"/>
                <w:color w:val="auto"/>
              </w:rPr>
            </w:pPr>
          </w:p>
        </w:tc>
        <w:tc>
          <w:tcPr>
            <w:tcW w:w="3940" w:type="dxa"/>
            <w:vAlign w:val="bottom"/>
            <w:gridSpan w:val="2"/>
          </w:tcPr>
          <w:p>
            <w:pPr>
              <w:jc w:val="right"/>
              <w:ind w:right="2110"/>
              <w:spacing w:after="0"/>
              <w:rPr>
                <w:sz w:val="20"/>
                <w:szCs w:val="20"/>
                <w:color w:val="auto"/>
              </w:rPr>
            </w:pPr>
            <w:r>
              <w:rPr>
                <w:rFonts w:ascii="Arial" w:cs="Arial" w:eastAsia="Arial" w:hAnsi="Arial"/>
                <w:sz w:val="18"/>
                <w:szCs w:val="18"/>
                <w:color w:val="auto"/>
              </w:rPr>
              <w:t>39</w:t>
            </w:r>
          </w:p>
        </w:tc>
        <w:tc>
          <w:tcPr>
            <w:tcW w:w="840" w:type="dxa"/>
            <w:vAlign w:val="bottom"/>
          </w:tcPr>
          <w:p>
            <w:pPr>
              <w:spacing w:after="0"/>
              <w:rPr>
                <w:sz w:val="24"/>
                <w:szCs w:val="24"/>
                <w:color w:val="auto"/>
              </w:rPr>
            </w:pPr>
          </w:p>
        </w:tc>
        <w:tc>
          <w:tcPr>
            <w:tcW w:w="2340" w:type="dxa"/>
            <w:vAlign w:val="bottom"/>
          </w:tcPr>
          <w:p>
            <w:pPr>
              <w:spacing w:after="0"/>
              <w:rPr>
                <w:sz w:val="24"/>
                <w:szCs w:val="24"/>
                <w:color w:val="auto"/>
              </w:rPr>
            </w:pPr>
          </w:p>
        </w:tc>
      </w:tr>
    </w:tbl>
    <w:p>
      <w:pPr>
        <w:sectPr>
          <w:pgSz w:w="11900" w:h="16838" w:orient="portrait"/>
          <w:cols w:equalWidth="0" w:num="1">
            <w:col w:w="10960"/>
          </w:cols>
          <w:pgMar w:left="460" w:top="125"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Sam Klepfish, certify that:</w:t>
      </w:r>
    </w:p>
    <w:p>
      <w:pPr>
        <w:spacing w:after="0" w:line="22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329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7329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 Chief Executive Officer</w:t>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Tang,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Innovative Food Holdings,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18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192"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34"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20" w:firstLine="8"/>
        <w:spacing w:after="0" w:line="277" w:lineRule="auto"/>
        <w:tabs>
          <w:tab w:leader="none" w:pos="2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389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0389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Tang, Chief Financial Officer</w:t>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September 30, 2022 as filed with the Securities and Exchange Commission on the date hereof (the “Report”), I, Sam Klepfish,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47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8472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Sam Klepfish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Innovative Food Holdings, Inc. and Subsidiaries (the “Company”) on Form 10-Q for the period ended September 30, 2022 as filed with the Securities and Exchange Commission on the date hereof (the “Report”), I, Richard Tang,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4960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4960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Tang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14, 2022</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4" Type="http://schemas.openxmlformats.org/officeDocument/2006/relationships/hyperlink" Target="http://www.sec.gov/Archives/edgar/data/312257/000114420405030172/v025859_ex3-1.htm" TargetMode="External"/><Relationship Id="rId55" Type="http://schemas.openxmlformats.org/officeDocument/2006/relationships/hyperlink" Target="http://www.sec.gov/Archives/edgar/data/312257/000118518511000325/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2022-11-14T20:41:27Z</dcterms:created>
  <dcterms:modified xsi:type="dcterms:W3CDTF">2022-11-14T20:41:27Z</dcterms:modified>
</cp:coreProperties>
</file>