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177165</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left="4760" w:right="1160" w:hanging="3583"/>
        <w:spacing w:after="0" w:line="282" w:lineRule="auto"/>
        <w:tabs>
          <w:tab w:leader="none" w:pos="13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for the fiscal year ended </w:t>
      </w:r>
      <w:r>
        <w:rPr>
          <w:rFonts w:ascii="Arial" w:cs="Arial" w:eastAsia="Arial" w:hAnsi="Arial"/>
          <w:sz w:val="18"/>
          <w:szCs w:val="18"/>
          <w:b w:val="1"/>
          <w:bCs w:val="1"/>
          <w:u w:val="single" w:color="auto"/>
          <w:color w:val="auto"/>
        </w:rPr>
        <w:t>December 31, 2022</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920" w:right="2000" w:hanging="1910"/>
        <w:spacing w:after="0" w:line="487" w:lineRule="auto"/>
        <w:tabs>
          <w:tab w:leader="none" w:pos="222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COMMISSION FILE NUMBER: </w:t>
      </w:r>
      <w:r>
        <w:rPr>
          <w:rFonts w:ascii="Arial" w:cs="Arial" w:eastAsia="Arial" w:hAnsi="Arial"/>
          <w:sz w:val="18"/>
          <w:szCs w:val="18"/>
          <w:b w:val="1"/>
          <w:bCs w:val="1"/>
          <w:u w:val="single" w:color="auto"/>
          <w:color w:val="auto"/>
        </w:rPr>
        <w:t>0-9376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3600" w:type="dxa"/>
            <w:vAlign w:val="bottom"/>
            <w:gridSpan w:val="2"/>
          </w:tcPr>
          <w:p>
            <w:pPr>
              <w:jc w:val="center"/>
              <w:ind w:right="2780"/>
              <w:spacing w:after="0"/>
              <w:rPr>
                <w:sz w:val="20"/>
                <w:szCs w:val="20"/>
                <w:color w:val="auto"/>
              </w:rPr>
            </w:pPr>
            <w:r>
              <w:rPr>
                <w:rFonts w:ascii="Arial" w:cs="Arial" w:eastAsia="Arial" w:hAnsi="Arial"/>
                <w:sz w:val="18"/>
                <w:szCs w:val="18"/>
                <w:b w:val="1"/>
                <w:bCs w:val="1"/>
                <w:color w:val="auto"/>
              </w:rPr>
              <w:t>FLORIDA</w:t>
            </w:r>
          </w:p>
        </w:tc>
        <w:tc>
          <w:tcPr>
            <w:tcW w:w="360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gridSpan w:val="3"/>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28411 Race Track 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Bonita Springs, Florida 34135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69608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7" w:right="479" w:bottom="1440" w:gutter="0" w:footer="0" w:header="0"/>
        </w:sectPr>
      </w:pPr>
    </w:p>
    <w:bookmarkStart w:id="1" w:name="page2"/>
    <w:bookmarkEnd w:id="1"/>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557" w:right="479" w:bottom="1440" w:gutter="0" w:footer="0" w:header="0"/>
        </w:sectPr>
      </w:pPr>
    </w:p>
    <w:p>
      <w:pPr>
        <w:spacing w:after="0" w:line="151" w:lineRule="exact"/>
        <w:rPr>
          <w:sz w:val="20"/>
          <w:szCs w:val="20"/>
          <w:color w:val="auto"/>
        </w:rPr>
      </w:pPr>
    </w:p>
    <w:p>
      <w:pPr>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50" w:lineRule="exact"/>
        <w:rPr>
          <w:sz w:val="20"/>
          <w:szCs w:val="20"/>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12" w:lineRule="exact"/>
        <w:rPr>
          <w:sz w:val="20"/>
          <w:szCs w:val="20"/>
          <w:color w:val="auto"/>
        </w:rPr>
      </w:pPr>
    </w:p>
    <w:p>
      <w:pPr>
        <w:spacing w:after="0" w:line="228" w:lineRule="exact"/>
        <w:rPr>
          <w:sz w:val="20"/>
          <w:szCs w:val="20"/>
          <w:color w:val="auto"/>
        </w:rPr>
      </w:pPr>
      <w:r>
        <w:rPr>
          <w:rFonts w:ascii="Arial" w:cs="Arial" w:eastAsia="Arial" w:hAnsi="Arial"/>
          <w:sz w:val="17"/>
          <w:szCs w:val="17"/>
          <w:color w:val="auto"/>
        </w:rPr>
        <w:t xml:space="preserve">Smaller reporting company </w:t>
      </w:r>
      <w:r>
        <w:rPr>
          <w:rFonts w:ascii="Arial Unicode MS" w:cs="Arial Unicode MS" w:eastAsia="Arial Unicode MS" w:hAnsi="Arial Unicode MS"/>
          <w:sz w:val="17"/>
          <w:szCs w:val="17"/>
          <w:color w:val="auto"/>
        </w:rPr>
        <w:t>☒</w:t>
      </w:r>
    </w:p>
    <w:p>
      <w:pPr>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200" w:lineRule="exact"/>
        <w:rPr>
          <w:sz w:val="20"/>
          <w:szCs w:val="20"/>
          <w:color w:val="auto"/>
        </w:rPr>
      </w:pPr>
    </w:p>
    <w:p>
      <w:pPr>
        <w:sectPr>
          <w:pgSz w:w="11900" w:h="16838" w:orient="portrait"/>
          <w:cols w:equalWidth="0" w:num="2">
            <w:col w:w="4740" w:space="720"/>
            <w:col w:w="5500"/>
          </w:cols>
          <w:pgMar w:left="460" w:top="557" w:right="479" w:bottom="1440" w:gutter="0" w:footer="0" w:header="0"/>
          <w:type w:val="continuous"/>
        </w:sectPr>
      </w:pPr>
    </w:p>
    <w:p>
      <w:pPr>
        <w:spacing w:after="0" w:line="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83"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18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83"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Arial" w:cs="Arial" w:eastAsia="Arial" w:hAnsi="Arial"/>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50"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stock held by non-affiliates was approximately $5,554,043 as of June 30, 2022, based upon a closing price of $0.24 per share for the registrant’s common stock on such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March 28, 2023, a total of 48,756,694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7"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80" w:type="dxa"/>
            <w:vAlign w:val="bottom"/>
            <w:gridSpan w:val="9"/>
          </w:tcPr>
          <w:p>
            <w:pPr>
              <w:jc w:val="center"/>
              <w:ind w:right="2780"/>
              <w:spacing w:after="0"/>
              <w:rPr>
                <w:sz w:val="20"/>
                <w:szCs w:val="20"/>
                <w:color w:val="auto"/>
              </w:rPr>
            </w:pPr>
            <w:r>
              <w:rPr>
                <w:rFonts w:ascii="Arial" w:cs="Arial" w:eastAsia="Arial" w:hAnsi="Arial"/>
                <w:sz w:val="18"/>
                <w:szCs w:val="18"/>
                <w:b w:val="1"/>
                <w:bCs w:val="1"/>
                <w:color w:val="auto"/>
              </w:rPr>
              <w:t>INNOVATIVE FOOD HOLDINGS, INC.</w:t>
            </w:r>
          </w:p>
        </w:tc>
        <w:tc>
          <w:tcPr>
            <w:tcW w:w="94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340" w:type="dxa"/>
            <w:vAlign w:val="bottom"/>
            <w:gridSpan w:val="10"/>
          </w:tcPr>
          <w:p>
            <w:pPr>
              <w:jc w:val="center"/>
              <w:ind w:right="1720"/>
              <w:spacing w:after="0"/>
              <w:rPr>
                <w:sz w:val="20"/>
                <w:szCs w:val="20"/>
                <w:color w:val="auto"/>
              </w:rPr>
            </w:pPr>
            <w:r>
              <w:rPr>
                <w:rFonts w:ascii="Arial" w:cs="Arial" w:eastAsia="Arial" w:hAnsi="Arial"/>
                <w:sz w:val="18"/>
                <w:szCs w:val="18"/>
                <w:b w:val="1"/>
                <w:bCs w:val="1"/>
                <w:color w:val="auto"/>
              </w:rPr>
              <w:t>INDEX TO ANNUAL REPORT ON FORM 10-K</w:t>
            </w:r>
          </w:p>
        </w:tc>
        <w:tc>
          <w:tcPr>
            <w:tcW w:w="94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4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385"/>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20"/>
          </w:tcPr>
          <w:p>
            <w:pPr>
              <w:spacing w:after="0"/>
              <w:rPr>
                <w:sz w:val="20"/>
                <w:szCs w:val="20"/>
                <w:color w:val="auto"/>
              </w:rPr>
            </w:pPr>
            <w:r>
              <w:rPr>
                <w:rFonts w:ascii="Arial" w:cs="Arial" w:eastAsia="Arial" w:hAnsi="Arial"/>
                <w:sz w:val="18"/>
                <w:szCs w:val="18"/>
                <w:color w:val="0000EE"/>
              </w:rPr>
              <w:t>Business</w:t>
            </w: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140" w:type="dxa"/>
            <w:vAlign w:val="bottom"/>
            <w:gridSpan w:val="20"/>
          </w:tcPr>
          <w:p>
            <w:pPr>
              <w:spacing w:after="0"/>
              <w:rPr>
                <w:sz w:val="20"/>
                <w:szCs w:val="20"/>
                <w:color w:val="auto"/>
              </w:rPr>
            </w:pPr>
            <w:r>
              <w:rPr>
                <w:rFonts w:ascii="Arial" w:cs="Arial" w:eastAsia="Arial" w:hAnsi="Arial"/>
                <w:sz w:val="18"/>
                <w:szCs w:val="18"/>
                <w:color w:val="auto"/>
              </w:rPr>
              <w:t>Unresolved Staff Comments</w:t>
            </w: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0" w:lineRule="exact"/>
              <w:rPr>
                <w:sz w:val="20"/>
                <w:szCs w:val="20"/>
                <w:color w:val="auto"/>
              </w:rPr>
            </w:pPr>
            <w:r>
              <w:rPr>
                <w:rFonts w:ascii="Arial" w:cs="Arial" w:eastAsia="Arial" w:hAnsi="Arial"/>
                <w:sz w:val="18"/>
                <w:szCs w:val="18"/>
                <w:color w:val="0000EE"/>
                <w:w w:val="87"/>
              </w:rPr>
              <w:t>Properties</w:t>
            </w:r>
          </w:p>
        </w:tc>
        <w:tc>
          <w:tcPr>
            <w:tcW w:w="8400" w:type="dxa"/>
            <w:vAlign w:val="bottom"/>
            <w:gridSpan w:val="17"/>
          </w:tcPr>
          <w:p>
            <w:pPr>
              <w:spacing w:after="0"/>
              <w:rPr>
                <w:sz w:val="16"/>
                <w:szCs w:val="16"/>
                <w:color w:val="auto"/>
              </w:rPr>
            </w:pP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17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80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Mine Safety Disclosures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4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rPr>
              <w:t>PART II</w:t>
            </w:r>
          </w:p>
        </w:tc>
        <w:tc>
          <w:tcPr>
            <w:tcW w:w="94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Market for Registrant’s Common Equity, Related Stockholder Matters and Issuer Purchases of Equity Securities</w:t>
            </w:r>
          </w:p>
        </w:tc>
        <w:tc>
          <w:tcPr>
            <w:tcW w:w="10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Reserved</w:t>
            </w:r>
          </w:p>
        </w:tc>
        <w:tc>
          <w:tcPr>
            <w:tcW w:w="8460" w:type="dxa"/>
            <w:vAlign w:val="bottom"/>
            <w:gridSpan w:val="1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68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22"/>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140" w:type="dxa"/>
            <w:vAlign w:val="bottom"/>
            <w:gridSpan w:val="2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color w:val="auto"/>
              </w:rPr>
              <w:t>Item 8.</w:t>
            </w:r>
          </w:p>
        </w:tc>
        <w:tc>
          <w:tcPr>
            <w:tcW w:w="9140" w:type="dxa"/>
            <w:vAlign w:val="bottom"/>
            <w:gridSpan w:val="20"/>
          </w:tcPr>
          <w:p>
            <w:pPr>
              <w:spacing w:after="0" w:line="190" w:lineRule="exact"/>
              <w:rPr>
                <w:sz w:val="20"/>
                <w:szCs w:val="20"/>
                <w:color w:val="auto"/>
              </w:rPr>
            </w:pPr>
            <w:r>
              <w:rPr>
                <w:rFonts w:ascii="Arial" w:cs="Arial" w:eastAsia="Arial" w:hAnsi="Arial"/>
                <w:sz w:val="18"/>
                <w:szCs w:val="18"/>
                <w:color w:val="0000EE"/>
              </w:rPr>
              <w:t>Financial Statements</w:t>
            </w:r>
          </w:p>
        </w:tc>
        <w:tc>
          <w:tcPr>
            <w:tcW w:w="94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Reports of Independent Registered Public Accounting Firm (PCAOB ID Number 5036)</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264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7380" w:type="dxa"/>
            <w:vAlign w:val="bottom"/>
            <w:gridSpan w:val="1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9C.</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Disclosures Regarding Foreign Jurisdictions That Prevent Inspections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jc w:val="center"/>
              <w:spacing w:after="0"/>
              <w:rPr>
                <w:sz w:val="20"/>
                <w:szCs w:val="20"/>
                <w:color w:val="auto"/>
              </w:rPr>
            </w:pPr>
            <w:r>
              <w:rPr>
                <w:rFonts w:ascii="Arial" w:cs="Arial" w:eastAsia="Arial" w:hAnsi="Arial"/>
                <w:sz w:val="18"/>
                <w:szCs w:val="18"/>
                <w:b w:val="1"/>
                <w:bCs w:val="1"/>
                <w:color w:val="auto"/>
              </w:rPr>
              <w:t>PART III</w:t>
            </w:r>
          </w:p>
        </w:tc>
        <w:tc>
          <w:tcPr>
            <w:tcW w:w="412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Directors, Executive Officers and Corporate Governance</w:t>
            </w:r>
          </w:p>
        </w:tc>
        <w:tc>
          <w:tcPr>
            <w:tcW w:w="504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Executive Compensation</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184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368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140" w:type="dxa"/>
            <w:vAlign w:val="bottom"/>
            <w:gridSpan w:val="20"/>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453"/>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040" w:type="dxa"/>
            <w:vAlign w:val="bottom"/>
            <w:gridSpan w:val="8"/>
          </w:tcPr>
          <w:p>
            <w:pPr>
              <w:jc w:val="center"/>
              <w:ind w:right="4100"/>
              <w:spacing w:after="0"/>
              <w:rPr>
                <w:sz w:val="20"/>
                <w:szCs w:val="20"/>
                <w:color w:val="auto"/>
              </w:rPr>
            </w:pPr>
            <w:r>
              <w:rPr>
                <w:rFonts w:ascii="Arial" w:cs="Arial" w:eastAsia="Arial" w:hAnsi="Arial"/>
                <w:sz w:val="18"/>
                <w:szCs w:val="18"/>
                <w:b w:val="1"/>
                <w:bCs w:val="1"/>
                <w:color w:val="auto"/>
                <w:w w:val="98"/>
              </w:rPr>
              <w:t>PART IV</w:t>
            </w:r>
          </w:p>
        </w:tc>
        <w:tc>
          <w:tcPr>
            <w:tcW w:w="940" w:type="dxa"/>
            <w:vAlign w:val="bottom"/>
          </w:tcPr>
          <w:p>
            <w:pPr>
              <w:spacing w:after="0"/>
              <w:rPr>
                <w:sz w:val="24"/>
                <w:szCs w:val="24"/>
                <w:color w:val="auto"/>
              </w:rPr>
            </w:pP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14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380" w:type="dxa"/>
            <w:vAlign w:val="bottom"/>
            <w:gridSpan w:val="1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914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554"/>
        </w:trPr>
        <w:tc>
          <w:tcPr>
            <w:tcW w:w="8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553"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jc w:val="both"/>
        <w:ind w:firstLine="702"/>
        <w:spacing w:after="0" w:line="270" w:lineRule="auto"/>
        <w:rPr>
          <w:sz w:val="20"/>
          <w:szCs w:val="20"/>
          <w:color w:val="auto"/>
        </w:rPr>
      </w:pPr>
      <w:r>
        <w:rPr>
          <w:rFonts w:ascii="Arial" w:cs="Arial" w:eastAsia="Arial" w:hAnsi="Arial"/>
          <w:sz w:val="17"/>
          <w:szCs w:val="17"/>
          <w:color w:val="auto"/>
        </w:rPr>
        <w:t>During the fiscal year ended December 31, 2022, there were many uncertainties regarding the current Novel Coronavirus (“COVID-19”) pandemic, including the scope of scientific and health issues, the anticipated duration of the pandemic, and the extent of local and worldwide social, political, and economic disruption. The COVID-19 pandemic has had far-reaching impacts on many aspects of the operations of Innovative Food Holdings, Inc. (the “Company”, “we,” “our” or “us”), directly and indirectly, including on consumer behavior, customer store traffic, production capabilities, timing of product availability, our people, and the market generally. The COVID-19 pandemic has resulted in regional quarantines, labor stoppages and shortages, changes in consumer purchasing patterns, mandatory or elective shut-downs of restaurants, retail locations and other public gatherings, disruptions to supply chains, including the inability of our suppliers and service providers to deliver materials and services on a timely basis, or at all, severe market volatility, liquidity disruptions, and overall economic instability, which, in many cases, have had adverse impacts on our business, financial condition and results of operations.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light of the situation relating to the COVID-19 pandemic, we took certain precautionary measures intended to help minimize the risk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employees, and customers, including the following:</w:t>
      </w:r>
    </w:p>
    <w:p>
      <w:pPr>
        <w:spacing w:after="0" w:line="211" w:lineRule="exact"/>
        <w:rPr>
          <w:sz w:val="20"/>
          <w:szCs w:val="20"/>
          <w:color w:val="auto"/>
        </w:rPr>
      </w:pPr>
    </w:p>
    <w:p>
      <w:pPr>
        <w:ind w:left="540" w:hanging="537"/>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identified safety precautions that we implemented in our warehouses and offices From March 2020, and into 2022.</w:t>
      </w:r>
    </w:p>
    <w:p>
      <w:pPr>
        <w:spacing w:after="0" w:line="23" w:lineRule="exact"/>
        <w:rPr>
          <w:rFonts w:ascii="Arial" w:cs="Arial" w:eastAsia="Arial" w:hAnsi="Arial"/>
          <w:sz w:val="18"/>
          <w:szCs w:val="18"/>
          <w:color w:val="auto"/>
        </w:rPr>
      </w:pPr>
    </w:p>
    <w:p>
      <w:pPr>
        <w:ind w:left="540" w:right="20" w:hanging="537"/>
        <w:spacing w:after="0" w:line="26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Although our warehouse continued to operate, we evaluated their operations in case we had to shut down their operations temporarily at any time in the future.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we made the determination that COVID-19 possessed no continued serious risk to our employees and our business, and we returned to operating under pre-COVID-19 protocols.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 LOOKING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PROVE INACCURATE</w:t>
      </w:r>
    </w:p>
    <w:p>
      <w:pPr>
        <w:spacing w:after="0" w:line="21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THIS ANNUAL REPORT ON FORM 10-K CONTAINS CERTAIN FORWARD-LOOKING STATEMENTS AND INFORMATION RELATING TO US THAT ARE BASED ON THE BELIEFS OF MANAGEMENT, AS WELL AS ASSUMPTIONS MADE BY AND INFORMATION CURRENTLY AVAILABLE TO US. WHEN USED IN THIS DOCUMENT, THE WORDS “ANTICIPATE,” “BELIEVE,” “ESTIMATE,” “SHOULD,” “MAY,” “COULD,” “PLAN,” AND “EXPECT” AND SIMILAR EXPRESSIONS, AS THEY RELATE TO US, ARE INTENDED TO IDENTIFY FORWARD-LOOKING STATEMENTS. SUCH STATEMENTS REFLECT OUR CURRENT VIEWS WITH RESPECT TO FUTURE EVENTS AND ARE SUBJECT TO CERTAIN RISKS, UNCERTAINTIES AND ASSUMPTIONS, INCLUDING THOSE DESCRIBED IN THIS ANNUAL REPORT ON FORM 10-K. SHOULD ONE OR MORE OF THESE RISKS OR UNCERTAINTIES MATERIALIZE, OR SHOULD UNDERLYING ASSUMPTIONS PROVE INCORRECT, ACTUAL RESULTS MAY VARY MATERIALLY FROM THOSE DESCRIBED HEREIN AS ANTICIPATED, BELIEVED, ESTIMATED, PLANNED OR EXPECTED. WE DO NOT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466725</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(or “IVFH”(or the “Company”)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a Florida corporation formed for that purpose. As a result of the merger, we changed our name to Innovative Food Holdings, Inc. In January 2004, we also acquired Food Innovations, Inc. (“FII” or “Food Innovations”), a Florida corporation.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18, 2012, the Company executed a Stock Purchase Agreement to acquire all of the issued and outstanding shares of Artisan Specialty Foods, Inc., an Illinois corporation (“Artisan”).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November 2, 2012, the Company entered into an asset purchase agreement whereby we acquired all existing assets of The Haley Group, LLC.</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30, 2014, pursuant to a purchase agreement, the Company purchased 100% of the membership interest of Organic Food Brokers, LLC, a Colorado limited liability company (“OFB”).</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15, 2014, pursuant to a merger agreement, the Company acquired The Fresh Diet, Inc. (“FD”). Effective February 23, 2016, the Company closed a transaction to sell 90% of its ownership in FD. There are no continuing cash inflows or outflows to or from FD.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an Asset Purchase Agreement dated as of January 1, 2017 the Company’s wholly-owned subsidiary, Oasis Sales Corp. (“Oasis”), purchased substantially all of the assets of Oasis Sales and Marketing, LLC.</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Effective January 24, 2018, pursuant to an asset acquisition agreement, our wholly-owned subsidiary, Innovative Gourmet LLC (“Innovative Gourmet”, “igourmet”), acquired substantially all of the assets and certain liabilities of igourmet LLC and igourmet NY LLC, privately-held New York limited liability companies located in West Pittston, Pennsylvania (collectively, “Sellers”)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Effective July 6, 2018, pursuant to an asset purchase agreement between Mouth Foods, Inc. (“Mouth”) and our wholly-owned subsidiary M Innovations LLC (“M Innovations”) (the “MFI APA”), the Company acquired certain assets of Mouth from MFI (assignment for the benefit of creditors), LLC, in connection with a Delaware assignment proceeding. Mouth, a privately held New York company operating out of Brooklyn, was an expert curator and online retailer of high quality specialty foods from small-batch makers in the US.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Effective July 23, 2019, through our subsidiary P Innovations LLC, we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business is currently conducted by our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or “Mouth”), P Innovations, LLC (“P Innovations”), MI Foods, LLC (“MIF”), M Foods Innovations, LLC (“M Foods”), PlantBelly, LLC (“PlantBelly”), Innovative Foods, Inc. (“IFI”), Innovative Gourmet Partnerships, LLC (“IGP”) and Plant Innovations, Inc. (“Plant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Overall, our business activities are focused around the creation and growth of platforms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 The Company’s new management is reviewing the Company’s operations with a view to increasing sales levels, profit margins, and overall profitability.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 GFG is focused on expanding the Company’s program offerings to additional customers.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Plant Innovations is focused on plant-based D2C brands and online retail within the e-commerce space.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 Innovations provides 3rd party warehouse and fulfillment services, out of its first location at the Company’s Mountaintop, Pennsylvania facility.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D2C specialty food via e-commerce through its own website at www.igourmet.com and through other channels including www.amazon.com,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 (www.mouth.com) is an online retailer of specialty foods, monthly subscription boxes and curated gift boxes to thousands of consumers and corporate customers nationwide. Mouth sources high quality specialty foods mainly crafted in the US by independent and small batch makers, and expertly curates them into standout food gifts for both consumers and corporate customers. Mouth also has launched a private label brand, including several award-winning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distribute over 7,000 perishable and specialty food and food related products, including origin-specific seafood, domestic and imported meats, exotic game and poultry, artisanal cheeses, freshly prepared meals, caviar, wild and cultivated mushrooms, micro-greens, organic farmed and manufactured food products, estate-bottled olive oils and aged vinegars and expertly curated food gift baskets, gift boxes and a full of line of food subscription based offerings. Products are sold under the brand of the respective vendor and are also offered under a variety of Company owned brands. In addition, we offer a line of niche specialty healthcare related products. On a regular basis we add additional products including new products from small batch makers and other unique specialty food products. We offer our nationwide customers access to the best food products available from around the world, quickly, most direct, and cost-effectively.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 of the items we sell include:</w:t>
      </w:r>
    </w:p>
    <w:p>
      <w:pPr>
        <w:spacing w:after="0" w:line="221" w:lineRule="exact"/>
        <w:rPr>
          <w:sz w:val="20"/>
          <w:szCs w:val="20"/>
          <w:color w:val="auto"/>
        </w:rPr>
      </w:pPr>
    </w:p>
    <w:p>
      <w:pPr>
        <w:ind w:left="520" w:hanging="517"/>
        <w:spacing w:after="0" w:line="282"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Seafood </w:t>
      </w:r>
      <w:r>
        <w:rPr>
          <w:rFonts w:ascii="Arial" w:cs="Arial" w:eastAsia="Arial" w:hAnsi="Arial"/>
          <w:sz w:val="18"/>
          <w:szCs w:val="18"/>
          <w:color w:val="auto"/>
        </w:rPr>
        <w:t>- Alaskan wild king salmon, Hawaiian sashimi-grade ahi tuna, Gulf of Mexico day-boat snapper, Chesapeake Bay soft shell crabs, New</w:t>
      </w:r>
      <w:r>
        <w:rPr>
          <w:rFonts w:ascii="Arial" w:cs="Arial" w:eastAsia="Arial" w:hAnsi="Arial"/>
          <w:sz w:val="18"/>
          <w:szCs w:val="18"/>
          <w:b w:val="1"/>
          <w:bCs w:val="1"/>
          <w:color w:val="auto"/>
        </w:rPr>
        <w:t xml:space="preserve"> </w:t>
      </w:r>
      <w:r>
        <w:rPr>
          <w:rFonts w:ascii="Arial" w:cs="Arial" w:eastAsia="Arial" w:hAnsi="Arial"/>
          <w:sz w:val="18"/>
          <w:szCs w:val="18"/>
          <w:color w:val="auto"/>
        </w:rPr>
        <w:t>England live lobsters, Japanese Hamachi</w:t>
      </w:r>
    </w:p>
    <w:p>
      <w:pPr>
        <w:spacing w:after="0" w:line="161"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Meat &amp; Game </w:t>
      </w:r>
      <w:r>
        <w:rPr>
          <w:rFonts w:ascii="Arial" w:cs="Arial" w:eastAsia="Arial" w:hAnsi="Arial"/>
          <w:sz w:val="18"/>
          <w:szCs w:val="18"/>
          <w:color w:val="auto"/>
        </w:rPr>
        <w:t>- Prime rib of American kurobuta pork, dry-aged buffalo tenderloin, domestic lamb, Cervena venison, elk tenderloin</w:t>
      </w:r>
    </w:p>
    <w:p>
      <w:pPr>
        <w:spacing w:after="0" w:line="225"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Produce </w:t>
      </w:r>
      <w:r>
        <w:rPr>
          <w:rFonts w:ascii="Arial" w:cs="Arial" w:eastAsia="Arial" w:hAnsi="Arial"/>
          <w:sz w:val="18"/>
          <w:szCs w:val="18"/>
          <w:color w:val="auto"/>
        </w:rPr>
        <w:t>- White asparagus, baby carrot tri-color mix, Oregon wild ramps, heirloom tomatoes</w:t>
      </w:r>
    </w:p>
    <w:p>
      <w:pPr>
        <w:spacing w:after="0" w:line="225"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Poultry </w:t>
      </w:r>
      <w:r>
        <w:rPr>
          <w:rFonts w:ascii="Arial" w:cs="Arial" w:eastAsia="Arial" w:hAnsi="Arial"/>
          <w:sz w:val="18"/>
          <w:szCs w:val="18"/>
          <w:color w:val="auto"/>
        </w:rPr>
        <w:t>- Grade A foie gras, Hudson Valley quail, free range and organic chicken, airline breast of pheasant</w:t>
      </w:r>
    </w:p>
    <w:p>
      <w:pPr>
        <w:spacing w:after="0" w:line="225"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Specialty </w:t>
      </w:r>
      <w:r>
        <w:rPr>
          <w:rFonts w:ascii="Arial" w:cs="Arial" w:eastAsia="Arial" w:hAnsi="Arial"/>
          <w:sz w:val="18"/>
          <w:szCs w:val="18"/>
          <w:color w:val="auto"/>
        </w:rPr>
        <w:t>- Truffle oils, fennel pollen, prosciutto di Parma, wild boar sausage</w:t>
      </w:r>
    </w:p>
    <w:p>
      <w:pPr>
        <w:spacing w:after="0" w:line="225"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Mushrooms - </w:t>
      </w:r>
      <w:r>
        <w:rPr>
          <w:rFonts w:ascii="Arial" w:cs="Arial" w:eastAsia="Arial" w:hAnsi="Arial"/>
          <w:sz w:val="18"/>
          <w:szCs w:val="18"/>
          <w:color w:val="auto"/>
        </w:rPr>
        <w:t>Fresh morels, Trumpet Royale, porcini powder, wild golden chanterelles</w:t>
      </w:r>
    </w:p>
    <w:p>
      <w:pPr>
        <w:spacing w:after="0" w:line="225" w:lineRule="exact"/>
        <w:rPr>
          <w:rFonts w:ascii="Arial" w:cs="Arial" w:eastAsia="Arial" w:hAnsi="Arial"/>
          <w:sz w:val="18"/>
          <w:szCs w:val="18"/>
          <w:color w:val="auto"/>
        </w:rPr>
      </w:pPr>
    </w:p>
    <w:p>
      <w:pPr>
        <w:ind w:left="520" w:hanging="517"/>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Cheese - </w:t>
      </w:r>
      <w:r>
        <w:rPr>
          <w:rFonts w:ascii="Arial" w:cs="Arial" w:eastAsia="Arial" w:hAnsi="Arial"/>
          <w:sz w:val="18"/>
          <w:szCs w:val="18"/>
          <w:color w:val="auto"/>
        </w:rPr>
        <w:t>Maytag blue, buffalo mozzarella, Spanish manchego, Italian gorgonzola dolce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 and Logistics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foodservice focused, live chef-driven customer service department is generally available by telephone Monday through Thursday, from 8 a.m. to 6 p.m. and on Friday from 8 a.m. to 5 p.m., Florida time. Our consumer-focused multi-lingual, customer care specialists are available by live chat and telephone Monday through Thursday, from 9 a.m. to 7:00 pm (ET), and on Friday from 9:00 am to 5 pm (ET). Our team is available and can be contacted 7 days a week via email and on social media platforms. The customer service departments are made up of a team of chefs and culinary experts, including a team of culinary trained chefs, who are full-time employees of the Company, and who are experienced in all aspects of perishable and specialty products. By employing chefs and culinary experts to handle customer service, we are able to provide our customers with extensive information about our products, including:</w:t>
      </w:r>
    </w:p>
    <w:p>
      <w:pPr>
        <w:spacing w:after="0" w:line="195" w:lineRule="exact"/>
        <w:rPr>
          <w:sz w:val="20"/>
          <w:szCs w:val="20"/>
          <w:color w:val="auto"/>
        </w:rPr>
      </w:pPr>
    </w:p>
    <w:p>
      <w:pPr>
        <w:ind w:left="440" w:hanging="43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Flavor profile and eating qualities</w:t>
      </w:r>
    </w:p>
    <w:p>
      <w:pPr>
        <w:spacing w:after="0" w:line="225" w:lineRule="exact"/>
        <w:rPr>
          <w:rFonts w:ascii="Arial" w:cs="Arial" w:eastAsia="Arial" w:hAnsi="Arial"/>
          <w:sz w:val="18"/>
          <w:szCs w:val="18"/>
          <w:color w:val="auto"/>
        </w:rPr>
      </w:pPr>
    </w:p>
    <w:p>
      <w:pPr>
        <w:ind w:left="440" w:hanging="43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Recipe and usage ideas</w:t>
      </w:r>
    </w:p>
    <w:p>
      <w:pPr>
        <w:spacing w:after="0" w:line="225" w:lineRule="exact"/>
        <w:rPr>
          <w:rFonts w:ascii="Arial" w:cs="Arial" w:eastAsia="Arial" w:hAnsi="Arial"/>
          <w:sz w:val="18"/>
          <w:szCs w:val="18"/>
          <w:color w:val="auto"/>
        </w:rPr>
      </w:pPr>
    </w:p>
    <w:p>
      <w:pPr>
        <w:ind w:left="440" w:hanging="43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 seasonality, and availability</w:t>
      </w:r>
    </w:p>
    <w:p>
      <w:pPr>
        <w:spacing w:after="0" w:line="225" w:lineRule="exact"/>
        <w:rPr>
          <w:rFonts w:ascii="Arial" w:cs="Arial" w:eastAsia="Arial" w:hAnsi="Arial"/>
          <w:sz w:val="18"/>
          <w:szCs w:val="18"/>
          <w:color w:val="auto"/>
        </w:rPr>
      </w:pPr>
    </w:p>
    <w:p>
      <w:pPr>
        <w:ind w:left="440" w:hanging="43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Cross utilization ideas and complementary uses of products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logistics team manages the shipping and delivery process of every package to ensure timely delivery of products to our customers. We have developed the web-based capability to allow customers to seamlessly receive and send personal orders and gifts according to their desired schedule. The logistics manager receives shipping information on all products ordered, and packages are monitored from origin to delivery. In the event that delivery service is interrupted, our logistics department begins the process of expediting the package to its destination or potentially reshipping the package with a goal of 100% customer satisfaction for our customers. Our logistics manager works directly with our suppliers on an ongoing basis, to ensure that the appropriate packaging and shipping specifications are in place at all times. At the beginning of March 2020, as early signs were beginning to emerge that Covid-19 might potentially be a significant issue in the United states, we initiated additional preventative safety measures in our facilities and we continued adding additional preventative safety measures including protective gear for employees, temperature testing, ongoing onsite team of cleaning and sanitizing specialists, social distancing, special no contact package handling protocols. While we continue to assess and modify as appropriate, measures targeted towards the safety of our employees and the safety of our facilities and our products, as of December 31, 2022, we have returned to our pre-COVID-19 protocols.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historically sold the majority of our products, $39,531,207 and $28,415,263, respectively, representing 49% and 46% of total sales, respectively, in each of the years ended December 31, 2022 and 2021, through a distributor relationship between FII, one of our wholly-owned subsidiaries, and subsidiaries of U.S. Foods, a leading broadline distributor. On January 26, 2015 we executed a contract directly between FII and U.S. Foods (the “U.S. Foods Agreement”). The term of the U.S. Foods Agreement was from January 1, 2015 through December 31, 2016 and provided for a limited number of automatic annual renewals thereafter if no party gives the other 30 days’ notice of its intent not to renew. Based on the terms, the U.S. Foods Agreement was extended through December 31, 2018. Effective January 1, 2018 the U.S. Foods Agreement was further amended to remove the cap on renewals, and provide for an unlimited number of additional 12-month terms unless either party notifies the other in writing, 30 days prior to the end date, of its intent not to renew.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To drive growth within the specialty food space, we intend to focus our efforts in demand driven active sales channels and leverage our ability to offer our products across multiple selling channels including to professional chefs within the restaurant channel as well as directly to consumers at home via ecommerce. We expect to continue offering unique and premium quality products as well as new product introduction and innovation to our customers and potential customers. In addition, we plan on continuing to value and strive for a high level of personalized customer service.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attempting to grow our business through:</w:t>
      </w:r>
    </w:p>
    <w:p>
      <w:pPr>
        <w:spacing w:after="0" w:line="225" w:lineRule="exact"/>
        <w:rPr>
          <w:sz w:val="20"/>
          <w:szCs w:val="20"/>
          <w:color w:val="auto"/>
        </w:rPr>
      </w:pPr>
    </w:p>
    <w:p>
      <w:pPr>
        <w:ind w:left="440" w:hanging="2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products, suppliers, and food trends to customers across all of our sales channels.</w:t>
      </w:r>
    </w:p>
    <w:p>
      <w:pPr>
        <w:spacing w:after="0" w:line="225" w:lineRule="exact"/>
        <w:rPr>
          <w:rFonts w:ascii="Arial" w:cs="Arial" w:eastAsia="Arial" w:hAnsi="Arial"/>
          <w:sz w:val="18"/>
          <w:szCs w:val="18"/>
          <w:color w:val="auto"/>
        </w:rPr>
      </w:pPr>
    </w:p>
    <w:p>
      <w:pPr>
        <w:ind w:left="440" w:hanging="2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ecommerce conversion rates by improving the shopping experience on our website.</w:t>
      </w:r>
    </w:p>
    <w:p>
      <w:pPr>
        <w:spacing w:after="0" w:line="225" w:lineRule="exact"/>
        <w:rPr>
          <w:rFonts w:ascii="Arial" w:cs="Arial" w:eastAsia="Arial" w:hAnsi="Arial"/>
          <w:sz w:val="18"/>
          <w:szCs w:val="18"/>
          <w:color w:val="auto"/>
        </w:rPr>
      </w:pPr>
    </w:p>
    <w:p>
      <w:pPr>
        <w:ind w:left="440" w:hanging="2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in the number of unique visitors to our various ecommerce sites.</w:t>
      </w:r>
    </w:p>
    <w:p>
      <w:pPr>
        <w:spacing w:after="0" w:line="225" w:lineRule="exact"/>
        <w:rPr>
          <w:rFonts w:ascii="Arial" w:cs="Arial" w:eastAsia="Arial" w:hAnsi="Arial"/>
          <w:sz w:val="18"/>
          <w:szCs w:val="18"/>
          <w:color w:val="auto"/>
        </w:rPr>
      </w:pPr>
    </w:p>
    <w:p>
      <w:pPr>
        <w:ind w:left="440" w:hanging="2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sales of current product catalog to our existing customers and potential new customers.</w:t>
      </w:r>
    </w:p>
    <w:p>
      <w:pPr>
        <w:spacing w:after="0" w:line="225" w:lineRule="exact"/>
        <w:rPr>
          <w:rFonts w:ascii="Arial" w:cs="Arial" w:eastAsia="Arial" w:hAnsi="Arial"/>
          <w:sz w:val="18"/>
          <w:szCs w:val="18"/>
          <w:color w:val="auto"/>
        </w:rPr>
      </w:pPr>
    </w:p>
    <w:p>
      <w:pPr>
        <w:ind w:left="440" w:hanging="208"/>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Expansion of availability of branded products and new brands which are consistent with the changing demands of customers in the U.S.</w:t>
      </w:r>
    </w:p>
    <w:p>
      <w:pPr>
        <w:spacing w:after="0" w:line="236" w:lineRule="exact"/>
        <w:rPr>
          <w:rFonts w:ascii="Arial" w:cs="Arial" w:eastAsia="Arial" w:hAnsi="Arial"/>
          <w:sz w:val="17"/>
          <w:szCs w:val="17"/>
          <w:color w:val="auto"/>
        </w:rPr>
      </w:pPr>
    </w:p>
    <w:p>
      <w:pPr>
        <w:ind w:left="440" w:right="20" w:hanging="208"/>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igourmet.com and mouth.com toward further expansion of our sales and distribution channels either organically or through acquisition.</w:t>
      </w:r>
    </w:p>
    <w:p>
      <w:pPr>
        <w:spacing w:after="0" w:line="170" w:lineRule="exact"/>
        <w:rPr>
          <w:rFonts w:ascii="Arial" w:cs="Arial" w:eastAsia="Arial" w:hAnsi="Arial"/>
          <w:sz w:val="18"/>
          <w:szCs w:val="18"/>
          <w:color w:val="auto"/>
        </w:rPr>
      </w:pPr>
    </w:p>
    <w:p>
      <w:pPr>
        <w:ind w:left="440" w:right="20" w:hanging="208"/>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platforms to partner, build and/or acquire both foodservice brands and other consumer oriented entities and consumer brands such as D2C digitally native brands including stand alone brands and online retailer brands.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addition to attempting to grow our current business, we believe that there are lateral opportunities in the food industry and related markets. We may consider the possibility of acquiring specialty food manufacturers, specialty food distributors, small specialty food brands especially digitally native D2C brands, or e-commerce retailers and other business. We anticipate that, given our current cash flow levels, any acquisition could potentially involve the issuance of additional shares of our common stock or third party financing, which may not be available on acceptable terms. No acquisition will be consummated without thorough due diligence. No assurance can be given that we will be able to identify and successfully conclude negotiations with any potential target.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new management is reviewing the Company’s operations with a view to increasing sales levels, profit margins, and overall profitability.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face intense competition in the marketing of our products and services, it is our belief that there are few companies offering a platform similar to ours, which include expansive backend and front end capabilities in both ecommerce and foodservice in addition there are few companies offering a broad range of customer service oriented, quality, chef driven products and specialty gourmet products, for nationwide delivery from same day, depending on market location to 72 hours. Our primary competition is from local purveyors that supply a limited local market and have a limited range of products and from the other specialty gourmet distributors and specialty food retail stores or ecommerce stores, and from the national, regional or local expansion of specialty and non-specialty food distributers and food stores and food focused ecommerce sites. In addition, many purveyors are well established, have reputations for success in the development and marketing of these types of products and services and have significantly greater financial, marketing, distribution, personnel and other resources. These financial and other capabilities permit such companies to implement extensive advertising and promotional campaigns, both generally and in response to efforts by additional competitors such as us, to enter into new markets and introduce new products and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maintain a Business Owners Policy with a general liability per occurrence limit of $1,000,000 and aggregate policy covering $2,000,000 of liability for all entities. The Company carries an Auto Policy with non-owned automobile bodily injury and property damage coverage with a limit of $1,000,000 for all entities. The Company also carries an Umbrella policy of up to $14,000,000 which covers all entities, along with two excess umbrella policies that sit over the BOP and Umbrella policies. The excess umbrella policies have limits of $5,000,000 and $6,000,000. The Company carries a Cyber policy of up to $2,000,000 which insures the Company and its subsidiaries. The Company carries two Commercial Property Policies, for its buildings in PA and FL, with a limit of up to $12,490,000 for PA and a limit of up to $1,630,000 for FL. Such insurance may not be sufficient to cover all potential claims against us and additional insurance may not be available in the future at a reasonable price.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Various federal and state laws currently exist, and more are sure to be adopted, regulating the delivery of fresh food products. We require specialty foodservice third-party vendors to certify that they maintain at least $3,000,000 liability insurance coverage in aggregate and compliance with Hazard Analysis and Critical Control Point (HACCP), an FDA- and USDA-mandated food safety program, or a similar standard. Any changes in the government regulation of delivering of fresh food products that hinders our current ability and/or cost to deliver fresh products, could adversely impact our net revenues and gross margins and, therefore, our profitability and cash flows could also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employ 128 full-time employees, including 7 chefs and 2 executive officers. We believe that our relations with our employees are satisfactory. None of our employees are represented by a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Under the heading Major Customer in Note 18 to the Consolidated Financial Statements, (3) in Business – Relationship with U.S. Foods, (4) as the third item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Us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executive offices are located at 28411 Race Track Rd., Bonita Springs, Florida 34135; our Internet address is www.ivfh.com; and our telephone number is (239) 596-0204. The contents of our website are not incorporated in or deemed to be a part of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face risks related to health epidemics and other widespread outbreaks of contagious disease, which could significantly disrupt our sales and supply chain and impact our operating results.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outbreaks of contagious diseases, and other adverse public health developments, could have a material impact on our business operations and operating results. In December 2019, a strain of novel coronavirus (COVID-19) causing respiratory illness and death emerged in the city of Wuhan in the Hubei province of China. The coronavirus was declared a global pandemic by the World Health Organization and spread throughout the world, including the United States, resulting in emergency measures such as travel bans, closure of retail stores, and restrictions on gatherings of more than a maximum number of people. Included in these emergency measures is the mandated full or partial closure of restaurants and other foodservice establishments across the United States. These foodservice establishments represent a significant portion of our revenues and their continued closure and/or operation with capacity limits would likely continue to have a detrimental effect on our business.</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believe the risks associated with COVID-19 have significantly diminished during the year ended December 31, 2022. However, the risk of future contagious disease outbreaks remains a significant risk factor for us which could result in economic turmoil. Should a recession occur, either as a result of a pandemic, lack of stability, armed conflicts in various countries or for any other reason, we can expect that our sales, net income and cash flows will be negatively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Requiring Us to Seek Additional Sources of Capital.</w:t>
      </w:r>
    </w:p>
    <w:p>
      <w:pPr>
        <w:spacing w:after="0" w:line="229"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As of December 31, 2022, we had an accumulated deficit of $34,466,126. We cannot assure you that we can achieve profitability on a quarterly or annual basis in the future. If revenues grow more slowly than we anticipate, or if operating expenses exceed our expectations or cannot be adjusted accordingly, or other extraordinary events occur, we will incur losses. Our possible success is dependent upon the successful development and marketing of our services and products, as well as continued expansion of our products and customers, as to which we can give no assurance. Any future success that we might enjoy will depend upon many factors, including factors out of our control or which cannot be predicted at this time. These factors may include changes in or increased levels of competition, including the entry of additional competitors and increased success by existing competitors, changes in general economic conditions, increases in operating costs, including costs of supplies, personnel, marketing and promotions, reduced margins caused by competitive pressures and other economic and non-economic factors. These conditions may have a materially adverse effect upon us or may force us to curtail operations. In addition, we could require additional funds to sustain and expand our sales and marketing activities, particularly if a well-financed competitor emerges. We can give no assurance that financing will be available in amounts or on terms acceptable to us, if at all. Our inability in such instance to obtain sufficient funds from our operations or external sources could require us to curtail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Historically Derived Substantially Most of Our Revenue From One Client and if We Were to Lose Such Client and Be Unable to Generate New Sales to Offset Such Loss, We May Be Forced to Cease or Curtail Our Operations.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2003, Next Day Gourmet initially contracted with our subsidiary, Food Innovations, to handle the distribution of over 3,000 perishable and specialty food products to customers of USF. Effective January 1, 2018, we executed a contract amendment between Food Innovations, Inc., our wholly-owned subsidiary, and U.S. Foods which provides for no limit on automatic annual renewals thereafter if no party gives the other 30 days’ notice of its intent not to renew. Our sales through USF’s sales force generated gross revenues for us of $39,531,207 in the year ended December 31, 2022, and $28,415,263 in the year ended December 31, 2021. Those amounts contributed 49% and 46% of our total sales for each of 2022 and 2021, respectively. Our sales efforts within specialty foodservice are for the most part substantially dependent upon the efforts of the USF sales force. Although we have generated revenues from additional customers other than USF, if our relationship with USF were to be materially changed and we are unable to generate substantial new sales to offset such loss, we may be forced to significantly curtail our operations.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Variety of Factors, Including Seasonality and the Economic Environment, May Cause Our Quarterly Operating Results to Fluctuate, Leading to Volatility in Our Stock Price.</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quarterly results have fluctuated in the past and may fluctuate in the future, depending upon a variety of factors, including changes in economic conditions, including both COVID-19 related and non-related conditions, and shifts in the timing of holiday related purchases. While our annual sales have always had a significant seasonal aspect, this has increased with our acquisition of substantially all of the assets of igourmet LLC and Mouth Foods, Inc, as further described below. As a result of the seasonal nature of our business, we would be significantly and adversely affected, in a manner disproportionate to the impact on a company with sales spread more evenly throughout the year, by unforeseen events such as a terrorist attack or economic shock (including shock caused by world-wide pandemic or otherwise) that harm the retail environment or consumer buying patterns during our key selling season, or by events such as pandemic, strikes or weather related delays that interfere with the shipment of goods, during the critical period of the holiday season.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Availability of our Bank Loans Could Adversely Impact our Business and Financial Condition.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have multiple loans with MapleMark Bank. All of these contain cross-default provisions which means that all outstanding borrowings can be accelerated and can become immediately due and payable in the event of a default in any of such loans, which includes, among other things, failure to comply with certain financial covenants or breach of representations contained in the loan documents, defaults under other loans or obligations or involvement in bankruptcy proceedings (as such terms are defined in the loan documents). We are also subject to negative covenants which, during the life of the loans, prohibit and/or limit us from, among other things, incurring certain types of other debt, acquiring other companies, making certain expenditures or investments, and changing the character of our business. Any material change to the business and economic landscape negatively impacting our business, including among other things, an outbreak of infectious disease, a pandemic or a similar public health threat, such as the COVID-19 outbreak, or bank failures, inflation, recession, or other significant economic turmoil, could adversely impact our ability to comply with such covenants. Our failure to comply with such covenants or any other breach of the loan documents could cause a default and we may then be required to repay all of such borrowings with capital from other sources. Under these circumstances, other sources of capital may not be available or may be available only on unfavorable terms. In the event of a default, it is possible that our assets and certain of our subsidiaries’ assets may be attached or seized by the lenders. Any (i) failure by us to comply with the covenants or other provisions of the loan documents, (ii) difficulty in securing any required future financing, or (iii) any such seizure or attachment of assets could have a material adverse effect on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Acquisition of Substantially All of the Assets of igourmet LLC and Mouth Foods, Inc. Could Create Additional Risks to Our Business.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23, 2018, our subsidiary, Innovative Gourmet LLC, acquired substantially all of the assets of igourmet, LLC. On July 6, 2018, our subsidiary, M Innovations LLC, acquired substantially all of assets of Mouth Foods, Inc. These businesses are very seasonal in nature, which generates certain operational considerations and could exacerbate the seasonality of our business. To wit, if igourmet or Mouth does not have a strong holiday season, it likely will not be successful. In addition, while our subsidiary acquired only certain discrete liabilities of igourmet LLC, creditors of igourmet or Mouth may seek to impose liability on us or our subsidiaries, the payment of which, if required, could impair our cash flow and even if there may be no actual liability or responsibility to pay such claims, our challenge to such claims could involve significant legal fees and be a distraction to our management. The business model of the assets acquired from igourmet LLC and Mouth differ from our other businesses and operations, and therefore the success of its operations and its business model may create unforeseen complications requiring the use of our limited resources to resolve.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Computer System Disruption and Cyber Security Attacks or a Data Breach Could Damage Our Relationships With Our Customers, Harm Our Reputation, Expose Us To Litigation And Adversely Affect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systems are subject to damage or interruption from computer viruses, malicious attacks and other security breaches. The possibility of a cyberattack on any one or all of these systems is a serious threat.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part of our business model, we collect, retain, and transmit confidential information over public networks. In addition to our own databases, we use third party service providers to store, process and transmit this information on our behalf. Although we contractually require these service providers to implement and use reasonable security measures, we cannot control third parties and cannot guarantee that a security breach will not occur in the future either at their location or within their systems. We have confidential security measures in place to protect both our physical facilities and digital systems from attacks. Despite these efforts, we may be vulnerable to targeted or random security breaches, acts of vandalism, computer viruses, misplaced or lost data, programming and/or human errors, or other similar events.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growing nature of our e-commerce presence and digital strategy, it is imperative that we and our partners maintain uninterrupted and secure operation of our: (i) computer hardware, (ii) software systems, (iii) customer marketing databases and other customer information, and (iv) ability to email our current and potential customers.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systems are damaged or fail to function properly or reliably, we may incur substantial repair or replacement costs, experience data loss or theft and impediments to our ability to conduct our operations. Any material disruptions in our e-commerce presence or information technology systems could have a material adverse effect on our business,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Failure to Establish and Maintain Strategic Online and Social Media Relationships, and Other Relationships Targeted Towards Driving Web Traffic to our Websites, that Generate a Significant Amount of Traffic Could Limit the Growth of the Assets Acquired from igourmet LLC and Mouth Foods Inc.</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third party websites, search engines and affiliates with which we have strategic relationships for traffic. If these third parties do not attract a significant number of visitors, we may not receive a significant number of online customers from these relationships and our revenues from these relationships may remain flat or decrease. There continues to be strong competition to establish or maintain relationships with leading Internet companies, and we may not successfully enter into additional relationships, or renew existing ones beyond their current terms. We may also be required to pay significant fees to maintain and expand existing relationships or possibly not achieve the desired results with existing relationships. Our online revenues may suffer if we do not enter into new relationships or maintain existing relationships or if these relationships do not result in traffic sufficient to justify their costs.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 Significant Number of Customers are not Satisfied with their Purchase, We will be Required to Incur Substantial Costs to Issue Refunds, Credits or Replacement Products.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customers are not satisfied with the products they receive, we may either replace the product for the customer or issue the customer a refund or credit. Ours net income would decrease if a significant number of customers request replacement products, refunds or credits and we are unable to pass such costs onto the supplier.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Continuously Improve Our Website, it May Not Attract or Retain Customers.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potential or existing customers do not find our websites including www.igourmet.com, www.mouth.com or any of the company’s other websites, a convenient place to shop, we may not attract or retain customers and our sales may suffer. To encourage the use of our website, we must continuously improve its accessibility, mobile capabilities, content and ease of use. In addition, customer traffic and our business would be adversely affected if competitors’ websites are perceived as easier to use or better able to satisfy customer needs. Furthermore, e-commerce conversion rates could be adversely affected by a variety of website related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Marketing Efforts to Help Grow Our Business May Not be Effective.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and promoting awareness of our websites, including www.igourmet.com and www.mouth.com , is important to our ability to attract and retain visitors. Generating a meaningful return on our investments in marketing initiatives may be difficult. The marketing efforts we implement may not succeed for a variety of reasons, including our inability to execute and implement our plans. External factors beyond our control may also impact the success of our marketing initiatives. Search engines frequently change the algorithms that determine the ranking and display of results of a user’s search and may make other changes to the way results are displayed, which can negatively affect the placement of links to our websites and, therefore, reduce the number of visits to our websites.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growing use of online ad-blocking software, including on mobile devices, may also impact the success of our marketing efforts because we may reach a smaller audience and fail to bring more visitors to our websites. In addition, ongoing privacy regulatory changes may impact the scope and effectiveness of marketing and advertising services generally, including those used related to our websites. We also seek to obtain website visitors through email. If we are unable to successfully deliver emails to potential customers or customers do not open our emails, whether by choice or because those emails are marked as low priority or spam, or for other reasons, our business could be adversely affected. Social networking websites, such as Facebook and others are another source of visits to our websites. As ecommerce and social networking evolve, we must continue to evolve our marketing tactics accordingly and, if we are unable to do so, our business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Accurately Predict Customer Demand for Our Products, We May Lose Customers or Experience Increased Costs.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we expand the volume of products offered to our customers, we may be required or may elect for business purposes, to increase inventory levels and the number of products maintained in our warehouses. If we overestimate customer demand for our products, excess inventory and outdated merchandise could accumulate, tying up working capital and potentially resulting in reduced warehouse capacity and inventory losses due to damage, theft and obsolescence. If we underestimate customer demand, it may disappoint customers who may turn to our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Laws with Respect to Taxes Have Changed and May Change Again Which Could Impact Our Operating Results.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U.S. Congress has enacted legislation that significantly reforms the Internal Revenue Code of 1986, as amended. The new legislation, among other things, includes changes to U.S. federal tax rates, imposes significant additional limitations on the deductibility of interest and net operating losses, and allows for the expensing of certain capital expenditures. Our net deferred tax assets and liabilities will be revalued at the newly enacted U.S. corporate rate, and the impact will be recognized in our tax expense in the year of enactment. We base our estimates on historical experience and on various other assumptions that are believed to be reasonable in the circumstances, the results of which form the basis for making judgments about the carrying values of assets and liabilities that are not readily apparent from other sources. Actual results may differ from these estimates under different assumptions or conditions. It is possible that the application of these new rules may have a material and adverse impact on our operating results, cash flows and financial condition. Furthermore, the recent Supreme Court Ruling in South Dakota V. Wayfair, Inc, in which the Court upheld South Dakota’s economic nexus law, which requires companies to collect sales tax when their sales or the number of transactions within the state exceed certain thresholds. could have an adverse impact on our business. In addition, any other changes to applicable tax laws, whether on a federal or state level, could also decrease our ability to compete with traditional retailers, and otherwise harm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Attract and Retain Key Personnel, Our Business and Operating Results May be Harmed.</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future success depends to a significant degree on the skills, experience and efforts of key personnel in our senior management, whose vision for our company, knowledge of our business and expertise would be difficult to replace. If any one of our key employees leaves, is unable to work, or fails to perform and we are unable to find a qualified replacement, we may be unable to execute our business strategy.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Growth Which Could Result in Our Being Unable to Maintain Our Operations.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strategy for growth is focused on continued enhancements and expansion to our existing business model, offering a broader range of services and products, affiliating with additional vendors and through possible joint ventures. Pursuing this strategy presents a variety of challenges. We may not experience an increase in our services to our existing customers, and we may not be able to achieve the economies of scale, or provide the business, administrative and financial services, required to sustain profitability from servicing our existing and future customer base. Should we be successful in our expansion efforts, the expansion of our business would place further demands on our management, operational capacity and financial resources. To a significant extent, our future success will be dependent upon our ability to maintain adequate financial controls and reporting systems to manage a larger operation and to obtain additional capital upon favorable terms. We can give no assurance that we will be able to successfully implement our planned expansion (whether due to the impact of COVID-19, difficult economic conditions, or other unrelated reasons), finance its growth, or manage the resulting larger operations, if any. In addition, we can give no assurance that our current systems, procedures or controls will be adequate to support any expansion of our operations. Our failure to manage our growth effectively could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Specialty Food and Foodservice Industry is Very Competitive, Which May Result in Decreased Revenue for Us as Well as Increased Expenses Associated with Marketing Our Services and Products.</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 specialty food and foodservice businesses are highly competitive. We compete against other providers of quality foods, some of which sell their services globally, and some of these providers have considerably greater resources than we have. These competitors may have greater marketing and sales capacity, established distribution networks, significant goodwill and global name recognition. Our e-commerce and product catalog websites and paper mailings compete with other e-commerce websites and other catalogs, and other specialty foodservice providers that market lines of products similar to ours. We compete with national, regional and local businesses utilizing a similar strategy, as well as traditional specialty food and foodservice distributors. The substantial sales growth in the direct-to-customer industry within the last decade has encouraged the entry of many new competitors, new business models, and an increase in competition from established companies. Furthermore, it may become necessary for us to reduce our prices in response to competition. This could negatively impact our ability to be profitable.</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Upon Outside Vendors and Shippers for Our Specialty Food Products and Interruption in the Supply of Our Products or their Failure to Adhere to Our Quality Standards May Negatively Impact Our Revenues.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Shortages in supplies of the food products we sell may impair our ability to provide our services. Our vendors are independent and we cannot guarantee their future ability to source the products that we sell. Many of our products are wild-caught, and we cannot guarantee their availability in the future. Unforeseen strikes and labor disputes as well as adverse weather conditions may result in our inability to deliver our products in a timely manner. Also, if our suppliers fail to supply quality product in a timely and effective manner it could lead to an increase in recalls and customer litigation against us which could harm our brands’ images and negatively affect our business and operating results. The success of our business depends, in part, on our ability to timely and effectively deliver merchandise (e.g. fresh products) to our customers. We cannot control all of the various factors that might affect our fulfillment rates in direct-to-customer sales. We are heavily dependent upon one national carrier for the delivery of our fresh products to our customers. Accordingly, we are subject to risks, including labor disputes, union organizing activity, inclement weather, technology breakdowns, natural disasters, the closure of their offices or a reduction in operational hours due to an economic slowdown or health related crisis, possible acts of terrorism, their ability to provide delivery services to meet our shipping needs, disruptions or increased fuel costs, and costs associated with any regulations to address climate change. Since our customers rely on us to deliver their orders daily or within 24-72 hours, delivery delays could significantly harm our business.</w:t>
      </w:r>
    </w:p>
    <w:p>
      <w:pPr>
        <w:spacing w:after="0" w:line="17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 Order to be Successful, We Must be able to Enhance Our Existing Products and Develop and Introduce New Products and Services to Respond to Changing Market Demand.</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markets in which we operate are characterized by frequently changing customer demand and the introduction of new “flavors of the month” as certain foods become more and less popular. Changes in customer preferences and buying trends may also affect our products differently. We must be able to stay current with preferences and trends in specialty food and address the customer tastes for each of our target customer demographics. We must also be able to identify and adjust products to cater to customer demands and dietary needs. For example, a change in customer preferences for gluten free items may not correlate to a similar change in buying trends for other specialty food. In order to be successful, we must be able to enhance our existing products and anticipate and develop and introduce new products and services to respond to changing market demand for new tastes. The development and enhancement of services and products entails significant risks, including:</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 the inability to effectively adapt new food types to our business;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 the failure to conform our services and products to evolving industry standards;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 the inability to develop, introduce and market enhancements to our existing services and products or new services and products on a timely basis; and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 the non-acceptance by the market of such new service and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misjudge either the market for our products or our customers’ purchasing habits, our sales may decline significantly which would negatively impact our business and operating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Any Acquisitions We Make or Have Made Could Result in Difficulties in Successfully Managing Our Business and Consequently Harm Our Financial Condition.</w:t>
      </w:r>
    </w:p>
    <w:p>
      <w:pPr>
        <w:spacing w:after="0" w:line="16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We seek to expand by acquiring complementary businesses or assets in our current or ancillary markets. We cannot accurately predict the timing, size and success of our acquisition efforts and the associated capital commitments that might be required. We expect to face competition for acquisition candidates, which may limit the number of acquisition opportunities available to us and may lead to higher acquisition prices. There can be no assurance that we will be able to identify, acquire or profitably manage additional businesses or successfully integrate acquired businesses, if any, without substantial costs, delays or other operational or financial difficulties. In addition, acquisitions involve a number of other risks, including:</w:t>
      </w:r>
    </w:p>
    <w:p>
      <w:pPr>
        <w:spacing w:after="0" w:line="161" w:lineRule="exact"/>
        <w:rPr>
          <w:sz w:val="20"/>
          <w:szCs w:val="20"/>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the acquired businesses or assets acquired to achieve expected results;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integrate acquired business or assets into current operations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 and resources to acquisitions;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retain key customers or personnel of the acquired businesses or assets;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disappointing quality or functionality of acquired equipment and people; and</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unanticipated events, liabilities or contingencies.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Client dissatisfaction or performance problems at a single acquired business could negatively affect our reputation. The inability to acquire businesses on reasonable terms or successfully integrate and manage acquired companies, or the occurrence of performance problems at acquired companies, both prior and after acquisition, could result, or has resulted, in dilution, potential violations of bank covenants, unfavorable accounting treatment or one-time charges, and difficulties in successfully managing our business, requiring us to expend additional effort and expense in obtaining waivers, settling matters and otherwise addressing any such issues.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Results Depend on Continued Evolution of the Internet and its Use by Consumers and Businesses for Buying Our Products.</w:t>
      </w:r>
    </w:p>
    <w:p>
      <w:pPr>
        <w:spacing w:after="0" w:line="24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future results can depend on the use of the Internet for information, publication, distribution and commerce. Our growth may also be dependent on increasing availability to business consumers of broadband Internet access which will allow such persons to access higher-capacity content through the Internet. Our business could suffer if Internet usage and broadband availability does not continue to grow and evolve. In addition, the concept of ordering food, including ingredients, while it has recently grown, is a relatively new concept and represents a change from the way it had been previously done.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Effectively Manage Our IT Dependent Business Our Reputation and Operating Results May be Harmed.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success of our business depends, in part, on third parties and factors over which we have limited control. We are also vulnerable to certain additional risks and uncertainties associated with our e-commerce and product catalog websites, our internal IT systems and IT integration with our partners, including: changes in required technology interfaces; system issues and limitations, website downtime and other technical failures; internet connectivity issues; costs and technical issues as we upgrade our website software; computer viruses; changes in applicable federal and state regulations; security breaches; and consumer privacy concerns. 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succeed in increasing sales or attracting customers. Our failure to successfully respond to these risks and uncertainties might adversely affect our sales, as well as damage our reputation and brands.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be Exposed to Risks and Costs Associated with Credit Card Fraud and Identity Theft that could Cause Us to Incur Unexpected Expenses and Loss of Revenue.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increasing portion of our customer orders are placed through our e-commerce websites and a significant portion of our orders are submitted via networked applications. In addition, a significant portion of sales made through our retail channel require the collection of certain customer data, such as credit card information. In order for our sales channels to function and develop successfully, we and other parties involved in processing customer transactions must be able to transmit confidential information, including credit card information, securely over public networks. Third parties may have the technology or knowledge to breach the security of customer transaction data. Although we take the security of our systems and the privacy of our customers’ confidential information extremely seriously, we cannot guarantee that our security measures will effectively prevent others from obtaining unauthorized access to our information and our customers’ information. Any person who circumvents our security measures could destroy or steal valuable information or disrupt our operations. Any security breach could cause consumers to lose confidence in the security of our websites and choose not to purchase from us. Any security breach could also expose us to risks of data loss, litigation and liability and could seriously disrupt our operations and harm our reputation, any of which could harm our business.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states and the federal government are increasingly enacting laws and regulations to protect consumers against identity theft. Compliance with these laws will likely increase the costs of doing business and, if we fail to implement appropriate safeguards or to detect and provide prompt notice of unauthorized access as required by some of these new laws, we could be subject to potential claims for damages and other remedies, which could harm our results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Earthquakes, Inclement Weather or Other Events Out of Our Control May Damage or Limit Production from Our Facilities and Our Ability to Timely Deliver Products Thereby Adversely Affecting Our Results of Operations.</w:t>
      </w:r>
    </w:p>
    <w:p>
      <w:pPr>
        <w:spacing w:after="0" w:line="16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have significant operations in Florida, Illinois, and in other areas where weather or other events such as an earthquake, tsunami, hurricane, flood, fire, high winds, extreme heat or cold, or other natural or manmade events, could disrupt our operations and impair production or distribution of our products, damage inventory, interrupt critical functions, or otherwise affect our business negatively, adversely affecting our results of operations.</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Declines in General Economic Conditions and the Resulting Impact on Consumer Confidence and Consumer Spending Could Adversely Impact Our Results of Operations.</w:t>
      </w:r>
    </w:p>
    <w:p>
      <w:pPr>
        <w:spacing w:after="0" w:line="16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Our financial performance is subject to declines in general economic conditions and the impact of such economic conditions on levels of consumer confidence and consumer spending. Consumer confidence and consumer spending may deteriorate significantly and could remain depressed for an extended period of time, whether due to COVID-19, inflation, bank failure, or other unrelated reasons. Consumer purchases of discretionary items, including specifically our merchandise, generally decline during periods when disposable income is limited, unemployment rates increase, and consumer perceptions of personal well-being and security declines or there is economic uncertainty. An uncertain economic environment could adversely impact our business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and May Be Subject to Regulatory Compliance and Legal Uncertainties.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Changes in government regulation and supervision or proposed Department of Agriculture or other regulatory agency reforms or rule changes could impair our sources of revenue and limit our ability to expand our business. In the event any future laws or regulations are enacted which apply to us, we may have to expend funds and/or alter our operations to ensure compliance. New legislation or regulation, or the application of existing laws and regulations to the areas related to our business could add additional costs and risks to doing business. In addition, we are subject to regulations applicable to businesses generally and laws and regulations directly applicable to communications over the Internet and access to e-commerce. In addition, it is possible that a number of laws and regulations may be adopted with respect to the Internet and other areas of our business, covering issues such as user privacy, pricing, content, copyrights, distribution, antitrust, taxation and characteristics and quality of products and services.</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Since we do Not Intend to Pay Any Cash Dividends on Our Shares of Common Stock, Our Stockholders Will Not be Able to Receive a Return on Their Shares Unless They Sell Them</w:t>
      </w:r>
      <w:r>
        <w:rPr>
          <w:rFonts w:ascii="Arial" w:cs="Arial" w:eastAsia="Arial" w:hAnsi="Arial"/>
          <w:sz w:val="18"/>
          <w:szCs w:val="18"/>
          <w:color w:val="auto"/>
        </w:rPr>
        <w:t>.</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intend to retain any future earnings to finance the development and expansion of our business. We do not anticipate paying any cash dividends on our common stock in the foreseeable future. Unless we pay dividends, our stockholders will not be able to receive a return on their shares unless they sell them at a price higher than that which they initially paid for such shares.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5" w:name="page16"/>
    <w:bookmarkEnd w:id="15"/>
    <w:p>
      <w:pPr>
        <w:ind w:left="2"/>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both"/>
        <w:ind w:left="2"/>
        <w:spacing w:after="0" w:line="282" w:lineRule="auto"/>
        <w:rPr>
          <w:sz w:val="20"/>
          <w:szCs w:val="20"/>
          <w:color w:val="auto"/>
        </w:rPr>
      </w:pPr>
      <w:r>
        <w:rPr>
          <w:rFonts w:ascii="Arial" w:cs="Arial" w:eastAsia="Arial" w:hAnsi="Arial"/>
          <w:sz w:val="18"/>
          <w:szCs w:val="18"/>
          <w:b w:val="1"/>
          <w:bCs w:val="1"/>
          <w:color w:val="auto"/>
        </w:rPr>
        <w:t>We may be Subject to Legal Proceedings that Could be Time Consuming, Result in Costly Litigation, Require Significant Amounts of Management Time and Result in the Diversion of Significant Operational Resources.</w:t>
      </w:r>
    </w:p>
    <w:p>
      <w:pPr>
        <w:spacing w:after="0" w:line="166" w:lineRule="exact"/>
        <w:rPr>
          <w:sz w:val="20"/>
          <w:szCs w:val="20"/>
          <w:color w:val="auto"/>
        </w:rPr>
      </w:pPr>
    </w:p>
    <w:p>
      <w:pPr>
        <w:jc w:val="both"/>
        <w:ind w:left="2"/>
        <w:spacing w:after="0" w:line="270" w:lineRule="auto"/>
        <w:rPr>
          <w:sz w:val="20"/>
          <w:szCs w:val="20"/>
          <w:color w:val="auto"/>
        </w:rPr>
      </w:pPr>
      <w:r>
        <w:rPr>
          <w:rFonts w:ascii="Arial" w:cs="Arial" w:eastAsia="Arial" w:hAnsi="Arial"/>
          <w:sz w:val="17"/>
          <w:szCs w:val="17"/>
          <w:color w:val="auto"/>
        </w:rPr>
        <w:t>We are involved in lawsuits, claims and proceedings incident to the ordinary course of our business. Litigation is inherently unpredictable. Any claims against us, whether meritorious or not, could be time consuming, result in costly arbitration or litigation, require significant amounts of management time and result in the diversion of significant operational resources. Even if we believe that we have meritorious defenses against these actions, and we resolve to vigorously defend against them, the cost of defending against all these types of claims against us or the ultimate resolution of such claims, whether by settlement or adverse court decision, may harm our business and operating results and may be in excess of any amounts previously reserved for legal expenses. In addition, the increasingly regulated business environment and the nature of our products may result in a greater number of enforcement actions and private litigation. This could subject us to increased exposure to stockholder lawsuits. Also, we (and our affiliates) may be subject to attempts to bring legal claims by creditors and other third parties related to the liabilities or potential liabilities, of our former subsidiaries, or of the liabilities related to any company whose assets we acquired or do business with.</w:t>
      </w:r>
    </w:p>
    <w:p>
      <w:pPr>
        <w:spacing w:after="0" w:line="177" w:lineRule="exact"/>
        <w:rPr>
          <w:sz w:val="20"/>
          <w:szCs w:val="20"/>
          <w:color w:val="auto"/>
        </w:rPr>
      </w:pPr>
    </w:p>
    <w:p>
      <w:pPr>
        <w:jc w:val="both"/>
        <w:ind w:left="2"/>
        <w:spacing w:after="0" w:line="282" w:lineRule="auto"/>
        <w:rPr>
          <w:sz w:val="20"/>
          <w:szCs w:val="20"/>
          <w:color w:val="auto"/>
        </w:rPr>
      </w:pPr>
      <w:r>
        <w:rPr>
          <w:rFonts w:ascii="Arial" w:cs="Arial" w:eastAsia="Arial" w:hAnsi="Arial"/>
          <w:sz w:val="18"/>
          <w:szCs w:val="18"/>
          <w:b w:val="1"/>
          <w:bCs w:val="1"/>
          <w:color w:val="auto"/>
        </w:rPr>
        <w:t>We are a Smaller Reporting Company, and We Cannot be Certain if the Reduced Reporting Requirements Applicable to Smaller Reporting Companies Will Make our Common Stock Less Attractive to Investors.</w:t>
      </w:r>
    </w:p>
    <w:p>
      <w:pPr>
        <w:spacing w:after="0" w:line="166" w:lineRule="exact"/>
        <w:rPr>
          <w:sz w:val="20"/>
          <w:szCs w:val="20"/>
          <w:color w:val="auto"/>
        </w:rPr>
      </w:pPr>
    </w:p>
    <w:p>
      <w:pPr>
        <w:jc w:val="both"/>
        <w:ind w:left="2"/>
        <w:spacing w:after="0" w:line="271" w:lineRule="auto"/>
        <w:rPr>
          <w:sz w:val="20"/>
          <w:szCs w:val="20"/>
          <w:color w:val="auto"/>
        </w:rPr>
      </w:pPr>
      <w:r>
        <w:rPr>
          <w:rFonts w:ascii="Arial" w:cs="Arial" w:eastAsia="Arial" w:hAnsi="Arial"/>
          <w:sz w:val="17"/>
          <w:szCs w:val="17"/>
          <w:color w:val="auto"/>
        </w:rPr>
        <w:t>We are a smaller reporting company, as defined in the Securities Act of 1934.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the Sarbanes-Oxley Act of 2002, reduced disclosure obligations regarding historical financial statements, executive compensation in our periodic reports, registration statements,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8" w:lineRule="exact"/>
        <w:rPr>
          <w:sz w:val="20"/>
          <w:szCs w:val="20"/>
          <w:color w:val="auto"/>
        </w:rPr>
      </w:pPr>
    </w:p>
    <w:p>
      <w:pPr>
        <w:jc w:val="both"/>
        <w:ind w:left="2"/>
        <w:spacing w:after="0" w:line="263" w:lineRule="auto"/>
        <w:rPr>
          <w:sz w:val="20"/>
          <w:szCs w:val="20"/>
          <w:color w:val="auto"/>
        </w:rPr>
      </w:pPr>
      <w:r>
        <w:rPr>
          <w:rFonts w:ascii="Arial" w:cs="Arial" w:eastAsia="Arial" w:hAnsi="Arial"/>
          <w:sz w:val="18"/>
          <w:szCs w:val="18"/>
          <w:color w:val="auto"/>
        </w:rPr>
        <w:t>We will remain a smaller reporting company until the beginning of a year in which we had a public float of $250 million held by non-affiliates or revenues below $100 million and a public float below $700 million, in each case as determined as of the last business day of the second quarter of the prior year.</w:t>
      </w:r>
    </w:p>
    <w:p>
      <w:pPr>
        <w:spacing w:after="0" w:line="180"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Our Common Stock is Subject to the </w:t>
      </w:r>
      <w:r>
        <w:rPr>
          <w:rFonts w:ascii="Arial" w:cs="Arial" w:eastAsia="Arial" w:hAnsi="Arial"/>
          <w:sz w:val="18"/>
          <w:szCs w:val="18"/>
          <w:color w:val="auto"/>
        </w:rPr>
        <w:t>“</w:t>
      </w:r>
      <w:r>
        <w:rPr>
          <w:rFonts w:ascii="Arial" w:cs="Arial" w:eastAsia="Arial" w:hAnsi="Arial"/>
          <w:sz w:val="18"/>
          <w:szCs w:val="18"/>
          <w:b w:val="1"/>
          <w:bCs w:val="1"/>
          <w:color w:val="auto"/>
        </w:rPr>
        <w:t>Penny Stock</w:t>
      </w:r>
      <w:r>
        <w:rPr>
          <w:rFonts w:ascii="Arial" w:cs="Arial" w:eastAsia="Arial" w:hAnsi="Arial"/>
          <w:sz w:val="18"/>
          <w:szCs w:val="18"/>
          <w:color w:val="auto"/>
        </w:rPr>
        <w:t>”</w:t>
      </w:r>
      <w:r>
        <w:rPr>
          <w:rFonts w:ascii="Arial" w:cs="Arial" w:eastAsia="Arial" w:hAnsi="Arial"/>
          <w:sz w:val="18"/>
          <w:szCs w:val="18"/>
          <w:b w:val="1"/>
          <w:bCs w:val="1"/>
          <w:color w:val="auto"/>
        </w:rPr>
        <w:t xml:space="preserve"> Rules of the SEC and the Trading Market in our Securities is Limited, Which Makes Transactions in Our Stock Cumbersome and May Reduce the Value of an Investment in Our Stock.</w:t>
      </w:r>
    </w:p>
    <w:p>
      <w:pPr>
        <w:spacing w:after="0" w:line="166"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The Securities and Exchange Commission has adopted Rule 15g-9 which establishes the definition of a “penny stock,” for the purposes relevant to us, as any equity security that has a market price of less than $5.00 per share or with an exercise price, for warrants or options or conversion price for convertible notes, of less than $5.00 per share, subject to certain exceptions. For any transaction involving a penny stock, unless exempt, the rules require:</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sz w:val="20"/>
          <w:szCs w:val="20"/>
          <w:color w:val="auto"/>
        </w:rPr>
      </w:pPr>
    </w:p>
    <w:p>
      <w:pPr>
        <w:jc w:val="both"/>
        <w:ind w:left="2"/>
        <w:spacing w:after="0" w:line="260" w:lineRule="auto"/>
        <w:rPr>
          <w:sz w:val="20"/>
          <w:szCs w:val="20"/>
          <w:color w:val="auto"/>
        </w:rPr>
      </w:pPr>
      <w:r>
        <w:rPr>
          <w:rFonts w:ascii="Arial" w:cs="Arial" w:eastAsia="Arial" w:hAnsi="Arial"/>
          <w:sz w:val="18"/>
          <w:szCs w:val="18"/>
          <w:color w:val="auto"/>
        </w:rPr>
        <w:t>●the broker or dealer receives from the investor a written agreement to the transaction, setting forth the identity and quantity of the penny stock to be purchased.</w:t>
      </w:r>
    </w:p>
    <w:p>
      <w:pPr>
        <w:spacing w:after="0" w:line="185" w:lineRule="exact"/>
        <w:rPr>
          <w:sz w:val="20"/>
          <w:szCs w:val="20"/>
          <w:color w:val="auto"/>
        </w:rPr>
      </w:pPr>
    </w:p>
    <w:p>
      <w:pPr>
        <w:ind w:left="2"/>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sz w:val="20"/>
          <w:szCs w:val="20"/>
          <w:color w:val="auto"/>
        </w:rPr>
      </w:pPr>
    </w:p>
    <w:p>
      <w:pPr>
        <w:ind w:left="2" w:hanging="2"/>
        <w:spacing w:after="0" w:line="260" w:lineRule="auto"/>
        <w:tabs>
          <w:tab w:leader="none" w:pos="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185" w:lineRule="exact"/>
        <w:rPr>
          <w:sz w:val="20"/>
          <w:szCs w:val="20"/>
          <w:color w:val="auto"/>
        </w:rPr>
      </w:pPr>
    </w:p>
    <w:p>
      <w:pPr>
        <w:jc w:val="both"/>
        <w:ind w:left="2"/>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sz w:val="20"/>
          <w:szCs w:val="20"/>
          <w:color w:val="auto"/>
        </w:rPr>
      </w:pPr>
    </w:p>
    <w:p>
      <w:pPr>
        <w:ind w:left="2"/>
        <w:spacing w:after="0"/>
        <w:rPr>
          <w:sz w:val="20"/>
          <w:szCs w:val="20"/>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left="2"/>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5"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Generally, brokers may be less willing to execute transactions in securities subject to the “penny stock” rules. This may make it more difficult for investors to dispose of our common stock and cause a decline in the market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8, 2013, we purchased a building and property located at 28411 Race Track Road, Bonita Springs, Florida 34135. The property consists of approximately 1.1 acres of land and close to 10,000 square feet of combined office and warehouse space. The purchase price of the property was $770,000 and was financed in part by a five year mortgage in the amount of $546,000. In March 2018, the remaining balance under this mortgage was extended to May 27, 2023. The company relocated all of its Florida-based office and warehouse facilities into this facility on July 15, 2013.</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May 14, 2015, we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WSJP rate plus 1.25%.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proprietary private label product lines as well as packing of organic, non GMO, diet specific and other specialty foods. The test kitchen, packaging room and additional improvements were financed by a loan from Fifth Third Bank. On June 6, 2022, this loan was transferred to MapleMark Bank.</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2022 was $16,400,000. Related to the Facility purchase, the Company entered into a commercial loan agreement for both the purchase price and planned improvements to the Facility. The amount of the loan was $5,500,000, of which the Company drew down $3,600,000 for the acquisition of the Facility; the lender was Fifth Third Bank and the loan is secured by a mortgage on the property and other Company assets. The interest on the loan is WSJP rate plus 1.25%, with interest only payments due through June 30, 2024. Related to Facility purchase, the Company also acquired certain leases from certain tenants of the Facility, all of which were in good standing at the time of purchase. On June 6, 2022, this loan was transferred to MapleMark Bank.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5, 2020, the Company completed work to upgrade the Facility at a cost of $2,231,458 in order to better support the Company’s focus on e-commerce and logistics.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Prices for our common stock are quoted on the OTCQB. Since March 2004, our common stock has traded under the symbol “IVFH”. Prior thereto, our common stock traded under the symbol “FBSN”. At March 28, 2023, there were 48,756,694 shares of our common stock outstanding.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23, 2023, there were approximately 58 record holders of our common stock. In addition, we believe there are at least several hundred additional beneficial owners of our common stock whose shares are held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dividends during the three most recently completed fiscal years and have no current plans to pay dividends on our common stock. We currently intend to retain all earnings, if any, for use in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and Other Issuances of Our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the Company had the following equity related, nonregistered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the Company accrued the amount of $466,186 representing 1,768,348 shares of common stock issuable at an average price of $0.29 per share to its then Chief Executive Officer pursuant to his compensation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the Company issued 142,857 shares with a value of $48,543 to a service provider.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2022, the Company issued 33,445 shares issued with a value of $11,405 to an employee as compensation.</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the Company accrued a total of $40,000 representing 103,256 shares of common stock issuable to two Directors.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December 31, 2022:</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w:t>
            </w:r>
          </w:p>
        </w:tc>
        <w:tc>
          <w:tcPr>
            <w:tcW w:w="1860" w:type="dxa"/>
            <w:vAlign w:val="bottom"/>
            <w:gridSpan w:val="2"/>
          </w:tcPr>
          <w:p>
            <w:pPr>
              <w:ind w:left="520"/>
              <w:spacing w:after="0"/>
              <w:rPr>
                <w:sz w:val="20"/>
                <w:szCs w:val="20"/>
                <w:color w:val="auto"/>
              </w:rPr>
            </w:pPr>
            <w:r>
              <w:rPr>
                <w:rFonts w:ascii="Arial" w:cs="Arial" w:eastAsia="Arial" w:hAnsi="Arial"/>
                <w:sz w:val="18"/>
                <w:szCs w:val="18"/>
                <w:b w:val="1"/>
                <w:bCs w:val="1"/>
                <w:color w:val="auto"/>
              </w:rPr>
              <w:t>Number</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Options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10"/>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168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68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r>
      <w:tr>
        <w:trPr>
          <w:trHeight w:val="209"/>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460" w:top="125" w:right="47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December 31,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as of December 31, 2021:</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w:t>
            </w:r>
          </w:p>
        </w:tc>
        <w:tc>
          <w:tcPr>
            <w:tcW w:w="1860" w:type="dxa"/>
            <w:vAlign w:val="bottom"/>
            <w:gridSpan w:val="2"/>
          </w:tcPr>
          <w:p>
            <w:pPr>
              <w:ind w:left="520"/>
              <w:spacing w:after="0"/>
              <w:rPr>
                <w:sz w:val="20"/>
                <w:szCs w:val="20"/>
                <w:color w:val="auto"/>
              </w:rPr>
            </w:pPr>
            <w:r>
              <w:rPr>
                <w:rFonts w:ascii="Arial" w:cs="Arial" w:eastAsia="Arial" w:hAnsi="Arial"/>
                <w:sz w:val="18"/>
                <w:szCs w:val="18"/>
                <w:b w:val="1"/>
                <w:bCs w:val="1"/>
                <w:color w:val="auto"/>
              </w:rPr>
              <w:t>Number</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Options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09"/>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68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09"/>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the following shares are issuable pursuant to outstanding stock options, warrants, and rights issued under the 2011 Stock Option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Number of securities to</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Weighted-average</w:t>
            </w:r>
          </w:p>
        </w:tc>
        <w:tc>
          <w:tcPr>
            <w:tcW w:w="1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be issued upon exercise</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exercise price of</w:t>
            </w:r>
          </w:p>
        </w:tc>
        <w:tc>
          <w:tcPr>
            <w:tcW w:w="1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 outstanding options,</w:t>
            </w:r>
          </w:p>
        </w:tc>
        <w:tc>
          <w:tcPr>
            <w:tcW w:w="16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outstanding options,</w:t>
            </w:r>
          </w:p>
        </w:tc>
        <w:tc>
          <w:tcPr>
            <w:tcW w:w="140" w:type="dxa"/>
            <w:vAlign w:val="bottom"/>
          </w:tcPr>
          <w:p>
            <w:pPr>
              <w:spacing w:after="0"/>
              <w:rPr>
                <w:sz w:val="18"/>
                <w:szCs w:val="18"/>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future issuance under</w:t>
            </w:r>
          </w:p>
        </w:tc>
      </w:t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 rights</w:t>
            </w:r>
          </w:p>
        </w:tc>
        <w:tc>
          <w:tcPr>
            <w:tcW w:w="160" w:type="dxa"/>
            <w:vAlign w:val="bottom"/>
          </w:tcPr>
          <w:p>
            <w:pPr>
              <w:spacing w:after="0"/>
              <w:rPr>
                <w:sz w:val="20"/>
                <w:szCs w:val="20"/>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warrants, and rights</w:t>
            </w: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equity compensation plans</w:t>
            </w:r>
          </w:p>
        </w:tc>
      </w:tr>
      <w:tr>
        <w:trPr>
          <w:trHeight w:val="209"/>
        </w:trPr>
        <w:tc>
          <w:tcPr>
            <w:tcW w:w="4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2"/>
              </w:rPr>
              <w:t>Equity compensation plans approved by security holders</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0.93</w:t>
            </w: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92,365,189</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w w:val="91"/>
              </w:rPr>
              <w:t>Equity compensation plans not approved by shareholders</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tcPr>
          <w:p>
            <w:pPr>
              <w:ind w:left="1540"/>
              <w:spacing w:after="0"/>
              <w:rPr>
                <w:sz w:val="20"/>
                <w:szCs w:val="20"/>
                <w:color w:val="auto"/>
              </w:rPr>
            </w:pPr>
            <w:r>
              <w:rPr>
                <w:rFonts w:ascii="Arial" w:cs="Arial" w:eastAsia="Arial" w:hAnsi="Arial"/>
                <w:sz w:val="18"/>
                <w:szCs w:val="18"/>
                <w:color w:val="auto"/>
              </w:rPr>
              <w:t>N/A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72" w:lineRule="exact"/>
        <w:rPr>
          <w:sz w:val="20"/>
          <w:szCs w:val="20"/>
          <w:color w:val="auto"/>
        </w:rPr>
      </w:pPr>
    </w:p>
    <w:p>
      <w:pPr>
        <w:ind w:left="560" w:hanging="557"/>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560" w:hanging="557"/>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560" w:right="20" w:hanging="557"/>
        <w:spacing w:after="0" w:line="263" w:lineRule="auto"/>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bank failures,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warrants outstanding at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Embedded conversion features of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convertible notes outstanding at December 31, 2022 and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options in accordance with FASB ASC 718-40. Options are valued upon issuance utilizing the Black-Scholes valuation model. Option expense is recognized over the requisite service period of the related option award. The following table illustrates certain key information regarding our options and option assumptions at December 31, 2022 and 2021:</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outstanding</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Value at December 31</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issued during the year</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Value of options issued during the year</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Pr>
          <w:p>
            <w:pPr>
              <w:spacing w:after="0"/>
              <w:rPr>
                <w:sz w:val="18"/>
                <w:szCs w:val="18"/>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recognized during the year</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Number of options exercised or expired during the year</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Value of options recognized during the year</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Revaluation (gain) during the period</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Black-Scholes model variables: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Dividends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Term (years)</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Doubtful Accounts Receivable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maintained an allowance in the amount of $340,225 and $375,931 for doubtful accounts receivable at December 31, 2022 and 2021, respectively.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 At December 31, 2022, the Company has a net operating loss carryforward of approximately $15,800,000.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shares of our common stock.</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strategy has been to increase our sales through a combination of acquisitions and organic growth; through December 31, 2022 we have completed a total of eight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with a major customer and related economic dependence information is set forth (1) following our discussion of Liquidity and Capital Resources, (2) under the heading Major Customer in Note 18 to the Consolidated Financial Statements, and (3) in Business – Relationship with U.S. Foods, and (4) as the second item under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Year Ended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Revenue increased by $17,890,816 or approximately 29% to $80,102,964 for the year ended December 31, 2022 from $62,212,148 in the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and restaurant dining. The increase in specialty foodservice revenue was partially offset with decreases in e-commerce revenues. The decrease in e-commerce revenue during the current period was related to decreases in COVID-19 driven demand in 2022 compared to 2021 partially driven by the continued re-opening of bricks and mortar stores, and by decreases in digital marketing related in part to a more challenging digital marketing environment as compared to 2021 which has been driven partially by industrywide marketing challenges related to expanded privacy rules that significantly reduce data sharing.</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cost of goods sold for the year ended December 31, 2022 was $61,414,765, an increase of $16,153,364 or approximately 36% compared to cost of goods sold of $45,261,401 for the year ended December 31, 2021. Cost of goods sold was made up of the following expenses for the year ended December 31, 2022: cost of goods of specialty, meat, game, cheese, seafood, poultry and other sales categories in the amount of $41,897,142; shipping, delivery, handling, and purchase allowance expenses in the amount of $18,989,389; and cost of goods associated with logistics of $528,233. Gross margins as a percentage of sales declined during the current period to 23.3% compared to 27.2% during the comparable period, primarily due to variation in product and revenue mix across our various selling channels, increases in fuel costs and fuel surcharges associated with the higher cost of fuel in the United States and higher shipping costs contributed to the decline in gross margins as a percentage of sales.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we continued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Selling, general, and administrative expenses decreased by $814,636 or approximately 4% to $19,725,593 during the year ended December 31, 2022 compared to $20,540,229 for the year ended December 31, 2021. The decrease in selling, general, and administrative expenses was primarily due to a decrease in advertising and digital marketing costs in the amount of $499,610, a decrease in payroll and related costs in the amount of $424,308, including a decrease of $91,287 in non-cash compensation; and a decrease in banking and credit card fees of $187,156. Other components of the decrease in selling, general, and administrative expenses include a decrease in bad debt expense in the amount of $33,671 and taxes in the amount of $7,589. These decreases were partially offset by an increase in travel and entertainment costs of $105,297, an increase in office &amp; facilities costs of $73,457, an increase in computer and IT expense of $52,115, an increase in professional fees of $47,371, an increase in amortization and depreciation of $36,344, and an increase in insurance costs of $23,263. The decrease in sales, general, and administrative expenses represent the results of our overall cost-cutting efforts as well as the restructuring of our marketing and advertising programs.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we made the determination that our investments in seven food-related companies were unlikely to be recovered, and we recorded an impairment on these investments in the aggregate amount of $286,725.</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2021, the founder of one of the food related companies passed away in an untimely tragic accident, and as a result the food related company ceased operations and the Company recognized an impairment in the amount of $209,850 in connection with that investment. There was no such comparable transaction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2022, the Company recognized other income in the amount of $294,000 in connection with the termination of the interest rate swap. There was no comparable transaction in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forgiveness of debt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year ended December 31, 2021, the Company recorded a gain on forgiveness of debt in connection with the IVFH PPP Loans in the amount of $3,425,015, consisting of $3,398,635 of principal and $26,380 of accrued interest. There was no comparable transaction in the current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contingent liabilities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year ended December 31, 2022, the Company recorded a total of $295,600 in gains on contingent liabilities. This was composed of two contingent liabilities recorded in connection with the igourmet acquisition on January 24, 2018, with a total remaining balance in the amount of $175,600; and two contingent liabilities recorded in connection with the Mouth acquisition on July 6, 2018, with a total remaining balance in the amount of $120,000. In each instance, the contingent event was not met and the payment period has passed; accordingly, the Company has reversed these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During the year ended December 31,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year ended December 31, 2022, the Company recognized income in the amount of $11,226 in connection with the lease of space in our Mountaintop warehouse facility, an increase of $386 or approximately 4% compared to $10,840 during the year ended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Interest expense, net of interest income, increased by $233,299 or approximately 66% to $586,153 during the year ended December 31, 2022, compared to $352,854 during the year ended December 31, 2021. The increase was due primarily to an increase in interest accrued or paid on the Company’s commercial loans and notes payable in the amount of $165,703 due to higher interest rates and an increase in loan fees in the amount of $103,235 due to loan fees incurred in connection with the MapleMark and Fifth Third loans. These increases were partially offset by a decrease in the amount of $20,639 in connection with the interest rate swap, and a decrease in $14,852 related to the PPP loans.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For the reasons above, the Company had a net loss for the year ended December 31, 2022 of $1,350,002 compared to a net loss of $716,331 during the year ended December 31, 2021. The loss for the year ended December 31, 2022 includes a net total of $1,580,162 in non-cash charges, including charges for non-cash compensation in the amount of $576,964; depreciation expense of $520,848; impairment of investments of $286,725; amortization of prepaid loan fees of $115,760; amortization of intangible assets in the amount of $41,224; and loss on extinguishment of debt of $40,556. These charges were partially offset by a gain on contingent liabilities in the amount of $295,600 and provision for doubtful accounts of $1,915. The loss for the year ended December 31, 2021 includes a total of $1,551,951 in non-cash charges, including charges for non-cash compensation in the amount of $668,251; depreciation expense of $517,942; impairment of investment of $209,850; provision for doubtful accounts of $31,756; amortization of prepaid loan fees of $12,525; and amortization of intangible assets in the amount of $8,912. These non-cash losses were offset by a gain on forgiveness of debt in the amount of $3,425,015.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December 31, 2022</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of December 31, 2022, the Company had current assets of $13,212,077, consisting of cash and cash equivalents of $4,899,398; trade accounts, net receivable of $4,969,395; inventory of $3,053,852; and other current assets of $289,432. Also at December 31, 2022, the Company had current liabilities of $16,412,609, consisting of trade payables and accrued liabilities of $6,853,253, accrued interest of $18,104, deferred revenue of $1,558,155, line of credit of $2,014,333, current portion of notes payable of $5,711,800, current portion of operating lease liability of $64,987, and current portion of financing lease liability of $191,977.</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year ended December 31, 2022, the Company had cash used in operating activities of $599,086. Cash flow used in operations consisted of the Company’s consolidated net loss of $1,350,002 less depreciation and amortization of $562,072, stock-based compensation in the amount of $576,964, impairment of investment of $286,725, amortization of right-of-use assets of $66,740, and amortization of prepaid loan fees in the amount of $115,760, and loss on extinguishment of debt of $40,556. These amounts were partially offset by a gain on contingent liabilities in the amount of $295,600 and recoveries of doubtful accounts of $1,915. The Company’s cash position decreased by $600,386 as a result of changes in the components of current assets and current liabilities.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cash used in investing activities of $114,966 for the year ended December 31, 2022, which consisted of cash paid for the acquisition of property and equipment.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cash used in financing activities of $509,221 for the year ended December 31, 2022, which consisted of principal payments on loans and notes payable in the amount of $172,422; principal payments on financing leases in the amount of $176,494; cost of debt financing of $110,305; and payment of offering costs for stock previously accrued of $50,000.</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The Company had a net working capital deficit of $3,200,532 as of December 31, 2022. The Company had cash used in operating activities during the year ended December 31, 2022 in the amount of $599,086, compared to $3,661,569 during the year ended December 31, 2021. The Company intends to continue to focus on increasing market share and cash flow from operations by focusing its sales activities on specific market segments and new product lines and improving operating efficiencies. Currently, we do not have any material long-term obligations other than those described in Notes 11, 12 and 13 to the financial statements included in this report. As we seek to increase our sales of new items and enter new markets, acquire new businesses as well as identify new food oriented products and services, we may use existing cash reserves, long-term financing, or other means to finance such diversification, although no assurance can be given that such growth will occur.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continue to focus on increasing market share and cash flow from operations by focusing its sales activities on specific market segments and new product lines.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Plans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world has been in the grip of a pandemic since March 2020 which has wreaked havoc on economies world-wide, including in the U.S., which is our primary market. As a result of the pandemic, restaurants, hotels, country clubs, casinos, catering houses and other segments of our primary customer base were either closed completely or have only opened with significantly reduced operations. Accordingly, foodservice revenues, which historically have been a significant portion of our overall revenues had been significantly reduced as most foodservice establishments cross the United States closed or had limited operations. As a result, foodservice revenue commencing in the second half of March 2020 and through the end of 2021 experienced unprecedented declines. In 2022, as the pandemic began to recede and foodservice establishments reopened and travel resumed, we have experienced strong foodservice revenue growth. Concurrently, while ecommerce revenues remained above pre-pandemic historical levels, lower deferred revenues recognized in the twelve months of 2022 and decreases in COVID-19 driven demand in 2022 compared to 2021 (partially driven by the continued re-opening of bricks and mortar stores), and an increasingly challenging digital marketing environment fueled by industry-wide marketing challenges, including expanded privacy rules that significantly reduce data sharing.</w:t>
      </w:r>
    </w:p>
    <w:p>
      <w:pPr>
        <w:spacing w:after="0" w:line="18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During 2023, as Mr. Bennett has now recently taken the role of CEO, we will be doing a holistic review of the Company’s portfolio of businesses and go to market strategies. In the meantime, we plan to continue to expand our business by expanding our focus on additional specialty foods markets and by leveraging our e-commerce platform to launch and grow new D2C brands and e-commerce sites within targeted consumer areas either organically and/or through acquisition of new D2C brands and e-commerce sites within targeted consumer areas. In addition, we will continue exploring potential acquisition and partnership opportunities with influencers and other celebrities to continue to extend our focus in the specialty food market through the growth of the Company’s existing sales channels and through a variety of additional potential sales channel relationships. Additionally, to further optimize the Company’s return on marketing spend, the company has meaningfully reduced its digital marketing spend in traditional digital marketing channels and has shifted focus to increasing our strategic loyalty and retention focused customer experience improvements across our branded online retailers. Additional focus includes further improving the customer experience on our existing food subscription offerings, expanding our traditional monthly subscription offerings and launching a “subscribe and save” subscription offering.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we are currently exploring the introduction of, or have introduced into the market, a variety of new product categories and new product lines, including private label products and proprietary branded products to leverage our existing foodservice and consumer customer base.</w:t>
      </w:r>
    </w:p>
    <w:p>
      <w:pPr>
        <w:spacing w:after="0" w:line="14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Furthermore, the Company intends to continue to expand its activities in the direct-to-consumer space and the overall consumer packaged goods (CPG) space by leveraging its overall capabilities in the consumer space, including leveraging its direct to consumer e-commerce platform to reach both additional customers in multiple channels, and to expand availability of its e-commerce capabilities to additional products and markets.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plans on expanding its B2B offerings, including of its managed services which provide a complete customer backend experience solution for small to large brands by leveraging the platform's procurement, logistics and fulfillment capabilities. The Company also manages monthly subscription offerings on behalf of third party B2B clients and the Company plans on expanding this offering in 2023. In addition, the Company is focused on formally launching its B2B managed marketplace offerings, currently in beta testing, in which the Company offers its B2B customers a complete managed solution including warehousing fulfillment and listing management, for third party marketplace for marketplaces such as Amazon, Walmart and other third party marketplaces.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 assurances can be given that any of these plans will come to fruition or that if implemented that they will necessarily yield positive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opinion of management, inflation has had a material effect on the Company’s financial condition and results of its operations. The Company has seen inflation across its costs for fuel, shipping, cost of goods, and marketing. Balancing the management of these increases with the willingness of our customers to pay higher prices will be a key focus for the Company this year. However, no assurance can be given that we will be successful and inflationary pressure on our profits will likely continue into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Major Customers</w:t>
      </w:r>
    </w:p>
    <w:p>
      <w:pPr>
        <w:spacing w:after="0" w:line="229"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Company's largest customer, U.S. Foods, Inc. and its affiliates, accounted for approximately 49% and 46% of total sales in the years ended December 31, 2022 and 2021, respectively; and approximately 46% of total sales in the fourth quarter of 2022 compared to 40% of total sales in the fourth quarter of 2021. A contract between our subsidiary, Food Innovations, and USF entered an optional renewal period in December 2012 but was automatically extended for an additional 12 months in each of January 1, 2013 and 2014. On January 26, 2015 we executed a contract directly between Food Innovations, Inc., our wholly-owned subsidiary, and U.S. Foods, Inc. The term of the Agreement was from January 1, 2015 through December 31, 2016 and provided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have audited the accompanying consolidated balance sheet of Innovative Food Holdings, Inc. and Subsidiaries (the Company) as of December 31, 2022, and the related consolidated statements of operations, stockholders’ equity and cash flows for the year then ended, and the related consolidated notes (collectively referred to as the financial statements). In our opinion, the financial statements present fairly, in all material respects, the financial position of the Company as of December 31, 2022, and the results of its operations and its cash flows for the year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ASSURANCE DIMENSIONS </w:t>
      </w:r>
      <w:r>
        <w:rPr>
          <w:rFonts w:ascii="Arial" w:cs="Arial" w:eastAsia="Arial" w:hAnsi="Arial"/>
          <w:sz w:val="14"/>
          <w:szCs w:val="14"/>
          <w:b w:val="1"/>
          <w:bCs w:val="1"/>
          <w:color w:val="BF8F00"/>
        </w:rPr>
        <w:t>CERTIFIED PUBLIC ACCOUNTANTS &amp; ASSOCIATES</w:t>
      </w:r>
    </w:p>
    <w:p>
      <w:pPr>
        <w:jc w:val="center"/>
        <w:spacing w:after="0" w:line="226" w:lineRule="auto"/>
        <w:rPr>
          <w:sz w:val="20"/>
          <w:szCs w:val="20"/>
          <w:color w:val="auto"/>
        </w:rPr>
      </w:pPr>
      <w:r>
        <w:rPr>
          <w:rFonts w:ascii="Arial" w:cs="Arial" w:eastAsia="Arial" w:hAnsi="Arial"/>
          <w:sz w:val="14"/>
          <w:szCs w:val="14"/>
          <w:b w:val="1"/>
          <w:bCs w:val="1"/>
          <w:color w:val="auto"/>
        </w:rPr>
        <w:t>also d/b/a McNAMARA and ASSOCIATES, PLLC</w:t>
      </w:r>
    </w:p>
    <w:p>
      <w:pPr>
        <w:jc w:val="center"/>
        <w:spacing w:after="0" w:line="221" w:lineRule="auto"/>
        <w:rPr>
          <w:sz w:val="20"/>
          <w:szCs w:val="20"/>
          <w:color w:val="auto"/>
        </w:rPr>
      </w:pPr>
      <w:r>
        <w:rPr>
          <w:rFonts w:ascii="Arial" w:cs="Arial" w:eastAsia="Arial" w:hAnsi="Arial"/>
          <w:sz w:val="14"/>
          <w:szCs w:val="14"/>
          <w:b w:val="1"/>
          <w:bCs w:val="1"/>
          <w:color w:val="auto"/>
        </w:rPr>
        <w:t>TAMPA BAY</w:t>
      </w:r>
      <w:r>
        <w:rPr>
          <w:rFonts w:ascii="Arial" w:cs="Arial" w:eastAsia="Arial" w:hAnsi="Arial"/>
          <w:sz w:val="14"/>
          <w:szCs w:val="14"/>
          <w:color w:val="auto"/>
        </w:rPr>
        <w:t>: 4920 W Cypress Street, Suite 102 | Tampa, FL 33607 | Office: 813.443.5048 | Fax: 813.443.5053</w:t>
      </w:r>
    </w:p>
    <w:p>
      <w:pPr>
        <w:jc w:val="center"/>
        <w:spacing w:after="0" w:line="222" w:lineRule="auto"/>
        <w:rPr>
          <w:sz w:val="20"/>
          <w:szCs w:val="20"/>
          <w:color w:val="auto"/>
        </w:rPr>
      </w:pPr>
      <w:r>
        <w:rPr>
          <w:rFonts w:ascii="Arial" w:cs="Arial" w:eastAsia="Arial" w:hAnsi="Arial"/>
          <w:sz w:val="14"/>
          <w:szCs w:val="14"/>
          <w:b w:val="1"/>
          <w:bCs w:val="1"/>
          <w:color w:val="auto"/>
        </w:rPr>
        <w:t>JACKSONVILLE</w:t>
      </w:r>
      <w:r>
        <w:rPr>
          <w:rFonts w:ascii="Arial" w:cs="Arial" w:eastAsia="Arial" w:hAnsi="Arial"/>
          <w:sz w:val="14"/>
          <w:szCs w:val="14"/>
          <w:color w:val="auto"/>
        </w:rPr>
        <w:t>: 4720 Salisbury Road, Suite 223 | Jacksonville, FL 32256 | Office: 888.410.2323 | Fax: 813.443.5053</w:t>
      </w:r>
    </w:p>
    <w:p>
      <w:pPr>
        <w:jc w:val="center"/>
        <w:spacing w:after="0" w:line="221" w:lineRule="auto"/>
        <w:rPr>
          <w:sz w:val="20"/>
          <w:szCs w:val="20"/>
          <w:color w:val="auto"/>
        </w:rPr>
      </w:pPr>
      <w:r>
        <w:rPr>
          <w:rFonts w:ascii="Arial" w:cs="Arial" w:eastAsia="Arial" w:hAnsi="Arial"/>
          <w:sz w:val="14"/>
          <w:szCs w:val="14"/>
          <w:b w:val="1"/>
          <w:bCs w:val="1"/>
          <w:color w:val="auto"/>
        </w:rPr>
        <w:t xml:space="preserve">ORLANDO: </w:t>
      </w:r>
      <w:r>
        <w:rPr>
          <w:rFonts w:ascii="Arial" w:cs="Arial" w:eastAsia="Arial" w:hAnsi="Arial"/>
          <w:sz w:val="14"/>
          <w:szCs w:val="14"/>
          <w:color w:val="auto"/>
        </w:rPr>
        <w:t>1800 Pembrook Drive, Suite 300 | Orlando, FL 32810 | Office: 888.410.2323 | Fax: 813.443.5053</w:t>
      </w:r>
    </w:p>
    <w:p>
      <w:pPr>
        <w:jc w:val="center"/>
        <w:spacing w:after="0" w:line="234" w:lineRule="auto"/>
        <w:rPr>
          <w:sz w:val="20"/>
          <w:szCs w:val="20"/>
          <w:color w:val="auto"/>
        </w:rPr>
      </w:pPr>
      <w:r>
        <w:rPr>
          <w:rFonts w:ascii="Arial" w:cs="Arial" w:eastAsia="Arial" w:hAnsi="Arial"/>
          <w:sz w:val="14"/>
          <w:szCs w:val="14"/>
          <w:b w:val="1"/>
          <w:bCs w:val="1"/>
          <w:color w:val="auto"/>
        </w:rPr>
        <w:t>SOUTH FLORIDA</w:t>
      </w:r>
      <w:r>
        <w:rPr>
          <w:rFonts w:ascii="Arial" w:cs="Arial" w:eastAsia="Arial" w:hAnsi="Arial"/>
          <w:sz w:val="14"/>
          <w:szCs w:val="14"/>
          <w:color w:val="auto"/>
        </w:rPr>
        <w:t>: 2000 Banks Road, Suite 218 | Margate, FL 33063 | Office: 754.800.3400 | Fax: 813.443.5053</w:t>
      </w:r>
    </w:p>
    <w:p>
      <w:pPr>
        <w:jc w:val="center"/>
        <w:spacing w:after="0"/>
        <w:rPr>
          <w:sz w:val="20"/>
          <w:szCs w:val="20"/>
          <w:color w:val="auto"/>
        </w:rPr>
      </w:pPr>
      <w:r>
        <w:rPr>
          <w:rFonts w:ascii="Arial" w:cs="Arial" w:eastAsia="Arial" w:hAnsi="Arial"/>
          <w:sz w:val="18"/>
          <w:szCs w:val="18"/>
          <w:color w:val="BF8F00"/>
        </w:rPr>
        <w:t>www.assurancedimensions.com</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 and considerations leading to the matter</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Notes 11 and 12 to the consolidated financial statements, the Company has a revolving credit facility and term loan agreement with MapleMark which is due to mature on May 27, 2023, resulting in negative working capital as of December 31, 2022. This raises substantial doubt about the ability of the Company to continue as a going concern for a period of one year from the date of our report if (i) the maturity date is not extended by the bank and (ii) the loan becomes in default and payable on demand as per the terms of the loan agreements. Given that the Company did not have a sufficient cash balance at December 31, 2022 or thereafter to pay down the loans and given that net cash was used in operations during the year ended December 31, 2022, the Company may not be able to repay the loan balance if called upon by the bank which resulted in the going concern risk noted.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as discussed in Note 11 and 12, the Company is waiting on the approval of a guarantee from the US Department of Agriculture (USDA) which the bank has applied for and would (i) guarantee the loan up to 80% and (ii) extend the maturity date to 2052. As of the date of the audit opinion the guarantee had not been received which further added to the going concern risk noted above.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foregoing, management has developed plans which it determined alleviate the substantial doubt regarding its ability to continue as a going concern. See Note 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how the matter was addressed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obtained management’s assessment of going concern and their plans to meet financial obligations in the instance the guarantee is not obtained which included (i) proposed financing by various lenders of two owned buildings with an appraised value greater than the loan amount along with working capital financing collateralized by accounts receivable and inventory evidenced by multiple term sheets; (ii) the ability to refinance with the current bank and extend the loan maturity date supported by written correspondence from the lender ; and (iii) management’s development of and review of projections showing increased sales and projected cash flows from operations, supporting the basis for the term sheets and other financing correspondence from the various lenders.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reviewed the conditional commitment issued by the USDA to the Company which outlines the terms and conditions of the guarantee and conditions to be met by the Company and which will be presented to the USDA committee for approval. We had conversations with the Company’s bank representative who corroborated the status of the application and that conditional commitment terms have been met and the willingness of the bank to assist the Company with refinance or other options if the guarantee is not obtained from the USDA.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management’s plans and related evidence obtained, substantial doubt about the Company’s ability to continue as a going concern is alleviated and as such, we did not include a going concern emphasis of a matter in our report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254635</wp:posOffset>
            </wp:positionV>
            <wp:extent cx="1611630"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16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Margate,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Holdings,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 of Innovative Food Holdings, Inc. and Subsidiaries (the “Company”) as of December 31, 2021 the related consolidated statements of operations, changes in stockholders’ equity and cash flows for the year ended December 31, 2021, and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the year ended December 31, 2021,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controls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consolidated financial statement presentation. We believe that our audits provide a reasonable basis for our opinion.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described in Note 17 to the consolidated financial statements, the Company is involved in a number of legal proceedings and has made accruals with respect to certain of these matters. Where a liability is reasonably possible and may be material, such matters have been disclosed. Management exercised judgment and assessed the probability of occurrence based on the ability to predict the number of claims that may be filed and whether it can reasonably estimate any loss or range of loss that may arise from that proceeding.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Auditing management’s accounting for, and disclosure of, loss contingencies was highly judgmental as it involved our assessment of the significant judgments made by management when assessing the probability of occurrence or when determining whether an estimate of the loss or range of loss could be made.</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To test the Company’s assessment of the probability of occurrence or determination of an estimate of loss, or range of loss, among other procedures, we read the legal documentations, reviewed opinions provided to the Company by certain outside legal counsel, read letters received directly by us from external counsel, and evaluated the current status of contingencies based on discussions with legal counsel. We also evaluated the appropriateness of the related disclosures.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Liggett &amp; Webb,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Boynton Beach,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320" w:type="dxa"/>
            <w:vAlign w:val="bottom"/>
          </w:tcPr>
          <w:p>
            <w:pPr>
              <w:jc w:val="center"/>
              <w:ind w:left="2770"/>
              <w:spacing w:after="0"/>
              <w:rPr>
                <w:sz w:val="20"/>
                <w:szCs w:val="20"/>
                <w:color w:val="auto"/>
              </w:rPr>
            </w:pPr>
            <w:r>
              <w:rPr>
                <w:rFonts w:ascii="Arial" w:cs="Arial" w:eastAsia="Arial" w:hAnsi="Arial"/>
                <w:sz w:val="18"/>
                <w:szCs w:val="18"/>
                <w:b w:val="1"/>
                <w:bCs w:val="1"/>
                <w:color w:val="auto"/>
                <w:w w:val="91"/>
              </w:rPr>
              <w:t>Innovative Food Holdings,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jc w:val="center"/>
              <w:ind w:left="275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720" w:type="dxa"/>
            <w:vAlign w:val="bottom"/>
            <w:gridSpan w:val="3"/>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4,899,398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4,969,395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3,256,764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Inventory,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13,212,077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Right of use assets, operating leases,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Right of use assets, finance leases,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570,323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669,039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Other amortizable intangible assets,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Tradenames and other unamortizable intangible assets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23,420,202</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23,782,938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3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4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6,853,253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Accrued interest, current portion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2,014,333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Notes payable - current portion, net of discount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Lease liability - operating leases, current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64,987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Lease liability - finance leases, current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Contingent liability - current portion</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16,412,609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10,197,532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Lease liability - operating leases, non-current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Lease liability - finance leases, non-current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333,092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Contingent liability - long-term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Note payable - long term portion, net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16,833,139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Commitments &amp; Contingencies (see note 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w w:val="89"/>
              </w:rPr>
              <w:t>Common stock: $0.0001 par value; 500,000,000 shares authorized; 50,927,237 and 48,879,331 shares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issued, and 48,089,657 and 46,041,751 shares outstanding at December 31, 2022 and 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42,189,471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41,662,710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Treasury stock: 2,623,171 shares outstanding at December 31, 2022 and 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(34,466,126)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(33,116,124)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6,587,063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7,410,101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23,420,202</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23,782,938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7320" w:type="dxa"/>
            <w:vAlign w:val="bottom"/>
            <w:tcBorders>
              <w:top w:val="single" w:sz="8" w:color="CCEEFF"/>
            </w:tcBorders>
          </w:tcPr>
          <w:p>
            <w:pPr>
              <w:jc w:val="center"/>
              <w:ind w:left="2770"/>
              <w:spacing w:after="0"/>
              <w:rPr>
                <w:sz w:val="20"/>
                <w:szCs w:val="20"/>
                <w:color w:val="auto"/>
              </w:rPr>
            </w:pPr>
            <w:r>
              <w:rPr>
                <w:rFonts w:ascii="Arial" w:cs="Arial" w:eastAsia="Arial" w:hAnsi="Arial"/>
                <w:sz w:val="18"/>
                <w:szCs w:val="18"/>
                <w:color w:val="auto"/>
                <w:w w:val="88"/>
              </w:rPr>
              <w:t>See notes to consolidated financial statements.</w:t>
            </w: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jc w:val="center"/>
              <w:ind w:left="3170"/>
              <w:spacing w:after="0"/>
              <w:rPr>
                <w:sz w:val="20"/>
                <w:szCs w:val="20"/>
                <w:color w:val="auto"/>
              </w:rPr>
            </w:pPr>
            <w:r>
              <w:rPr>
                <w:rFonts w:ascii="Arial" w:cs="Arial" w:eastAsia="Arial" w:hAnsi="Arial"/>
                <w:sz w:val="18"/>
                <w:szCs w:val="18"/>
                <w:color w:val="auto"/>
                <w:w w:val="89"/>
              </w:rPr>
              <w:t>32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43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Innovative Food Holdings, Inc.</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3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the</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80,102,964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62,212,148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61,414,765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18,688,199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16,950,747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Selling, general and administrative expenses</w:t>
            </w:r>
          </w:p>
        </w:tc>
        <w:tc>
          <w:tcPr>
            <w:tcW w:w="4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19,725,593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20,540,229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19,725,593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20,540,229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(1,037,394)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(3,589,482)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Impairment of investment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Other income</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on forgiveness of debt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Gain on contingent liability</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295,600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extinguishment of debt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Other leasing income</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(312,608)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2,873,151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Net loss before taxes</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(1,350,002)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(716,331)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4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(1,350,002)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(716,331)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Net loss per share - basic</w:t>
            </w:r>
          </w:p>
        </w:tc>
        <w:tc>
          <w:tcPr>
            <w:tcW w:w="4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Net loss per share - diluted</w:t>
            </w:r>
          </w:p>
        </w:tc>
        <w:tc>
          <w:tcPr>
            <w:tcW w:w="4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w w:val="98"/>
              </w:rPr>
              <w:t>Weighted average shares outstanding - basic</w:t>
            </w:r>
          </w:p>
        </w:tc>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47,129,511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39,448,041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w w:val="95"/>
              </w:rPr>
              <w:t>Weighted average shares outstanding - diluted</w:t>
            </w:r>
          </w:p>
        </w:tc>
        <w:tc>
          <w:tcPr>
            <w:tcW w:w="4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47,129,511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39,448,041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8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See notes to consolidated financial statements.</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40" w:type="dxa"/>
            <w:vAlign w:val="bottom"/>
          </w:tcPr>
          <w:p>
            <w:pPr>
              <w:jc w:val="center"/>
              <w:ind w:right="290"/>
              <w:spacing w:after="0"/>
              <w:rPr>
                <w:sz w:val="20"/>
                <w:szCs w:val="20"/>
                <w:color w:val="auto"/>
              </w:rPr>
            </w:pPr>
            <w:r>
              <w:rPr>
                <w:rFonts w:ascii="Arial" w:cs="Arial" w:eastAsia="Arial" w:hAnsi="Arial"/>
                <w:sz w:val="18"/>
                <w:szCs w:val="18"/>
                <w:color w:val="auto"/>
                <w:w w:val="89"/>
              </w:rPr>
              <w:t>33</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16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Additional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9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21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5"/>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Value</w:t>
            </w:r>
          </w:p>
        </w:tc>
        <w:tc>
          <w:tcPr>
            <w:tcW w:w="2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Capital</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38,209,060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$37,415,155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2,623,171</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(1,141,370)</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(32,399,793)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3,877,809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Shares issued for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1,295,271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523,847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144,274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6"/>
              </w:rPr>
              <w:t>Common stock sold for cash, net of costs</w:t>
            </w:r>
          </w:p>
        </w:tc>
        <w:tc>
          <w:tcPr>
            <w:tcW w:w="920" w:type="dxa"/>
            <w:vAlign w:val="bottom"/>
          </w:tcPr>
          <w:p>
            <w:pPr>
              <w:jc w:val="right"/>
              <w:spacing w:after="0"/>
              <w:rPr>
                <w:sz w:val="20"/>
                <w:szCs w:val="20"/>
                <w:color w:val="auto"/>
              </w:rPr>
            </w:pPr>
            <w:r>
              <w:rPr>
                <w:rFonts w:ascii="Arial" w:cs="Arial" w:eastAsia="Arial" w:hAnsi="Arial"/>
                <w:sz w:val="18"/>
                <w:szCs w:val="18"/>
                <w:color w:val="auto"/>
              </w:rPr>
              <w:t>9,375,000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3,579,434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3,580,372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loss for the year ended 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(716,331)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(716,331)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2021</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48,879,331</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4,885</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41,662,710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2,623,171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(1,141,370)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(33,116,124)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7,410,101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Shares issued for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1,871,604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506,000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Vesting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Offering expenses for stock previously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sold for cash</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(50,000)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59,931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Fair value of options issued to consultant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loss for the year ended 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80" w:type="dxa"/>
            <w:vAlign w:val="bottom"/>
            <w:vMerge w:val="restart"/>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(1,350,002)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(1,350,002)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2022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50,927,237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5,088</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42,189,471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2,623,171</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(1,141,370)</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(34,466,126)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6,587,063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For the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For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Year Ended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340" w:type="dxa"/>
            <w:vAlign w:val="bottom"/>
            <w:gridSpan w:val="2"/>
          </w:tcPr>
          <w:p>
            <w:pPr>
              <w:spacing w:after="0"/>
              <w:rPr>
                <w:sz w:val="20"/>
                <w:szCs w:val="20"/>
                <w:color w:val="auto"/>
              </w:rPr>
            </w:pPr>
            <w:r>
              <w:rPr>
                <w:rFonts w:ascii="Arial" w:cs="Arial" w:eastAsia="Arial" w:hAnsi="Arial"/>
                <w:sz w:val="16"/>
                <w:szCs w:val="16"/>
                <w:color w:val="auto"/>
              </w:rPr>
              <w:t>Cash flows from operating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(1,350,002)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(716,331)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forgiveness of debt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(3,425,015)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Gain on contingent liabilities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(295,600)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Impairment of investment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562,072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526,854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right of use asset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Amortization of prepaid loan fees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115,760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 based compensation</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Loss on extinguishment of debt</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40,556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Provision (recoveries) for doubtful accounts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(1,710,716)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(930,595)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 and other current assets, net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604,890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1,169,514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650,516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(73,251)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(1,286,270)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Contingent liabilities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 liability</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(66,740)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ind w:left="140"/>
              <w:spacing w:after="0"/>
              <w:rPr>
                <w:sz w:val="20"/>
                <w:szCs w:val="20"/>
                <w:color w:val="auto"/>
              </w:rPr>
            </w:pPr>
            <w:r>
              <w:rPr>
                <w:rFonts w:ascii="Arial" w:cs="Arial" w:eastAsia="Arial" w:hAnsi="Arial"/>
                <w:sz w:val="16"/>
                <w:szCs w:val="16"/>
                <w:color w:val="auto"/>
              </w:rPr>
              <w:t>Net cash used in operating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(599,086)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(3,661,569)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of property and equipment</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(114,966)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(114,966)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(24,511)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Payment of offering costs for stock previously issued</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Proceeds from sale of common stock, net of costs</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3,580,372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Payroll Protection Plan Loan</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Principal payments on debt</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(172,422)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(433,087)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Principal payments financing leases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(176,494)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(146,963)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Arial" w:cs="Arial" w:eastAsia="Arial" w:hAnsi="Arial"/>
                <w:sz w:val="16"/>
                <w:szCs w:val="16"/>
                <w:color w:val="auto"/>
              </w:rPr>
              <w:t>Cost of debt financing</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(110,305)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provided by (used in) financing activities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(509,221)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(1,223,273)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1,062,656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4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6,122,671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5,060,015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4,899,398</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6,122,671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Cash paid during the period for:</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4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461,563</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Taxes</w:t>
            </w:r>
          </w:p>
        </w:tc>
        <w:tc>
          <w:tcPr>
            <w:tcW w:w="162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20" w:type="dxa"/>
            <w:vAlign w:val="bottom"/>
            <w:tcBorders>
              <w:top w:val="single" w:sz="8" w:color="CCEEFF"/>
            </w:tcBorders>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gridSpan w:val="2"/>
          </w:tcPr>
          <w:p>
            <w:pPr>
              <w:spacing w:after="0"/>
              <w:rPr>
                <w:sz w:val="20"/>
                <w:szCs w:val="20"/>
                <w:color w:val="auto"/>
              </w:rPr>
            </w:pPr>
            <w:r>
              <w:rPr>
                <w:rFonts w:ascii="Arial" w:cs="Arial" w:eastAsia="Arial" w:hAnsi="Arial"/>
                <w:sz w:val="16"/>
                <w:szCs w:val="16"/>
                <w:color w:val="auto"/>
              </w:rPr>
              <w:t>(Decrease) Increase in right to use assets &amp; liabilities</w:t>
            </w:r>
          </w:p>
        </w:tc>
        <w:tc>
          <w:tcPr>
            <w:tcW w:w="16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(13,216)</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Finance lease for fixed assets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gridSpan w:val="2"/>
          </w:tcPr>
          <w:p>
            <w:pPr>
              <w:spacing w:after="0"/>
              <w:rPr>
                <w:sz w:val="20"/>
                <w:szCs w:val="20"/>
                <w:color w:val="auto"/>
              </w:rPr>
            </w:pPr>
            <w:r>
              <w:rPr>
                <w:rFonts w:ascii="Arial" w:cs="Arial" w:eastAsia="Arial" w:hAnsi="Arial"/>
                <w:sz w:val="16"/>
                <w:szCs w:val="16"/>
                <w:color w:val="auto"/>
              </w:rPr>
              <w:t>Debt to Fifth Third Bank paid directly by Maple Mark Bank</w:t>
            </w:r>
          </w:p>
        </w:tc>
        <w:tc>
          <w:tcPr>
            <w:tcW w:w="16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7,686,481</w:t>
            </w:r>
          </w:p>
        </w:tc>
        <w:tc>
          <w:tcPr>
            <w:tcW w:w="140" w:type="dxa"/>
            <w:vAlign w:val="bottom"/>
          </w:tcPr>
          <w:p>
            <w:pPr>
              <w:spacing w:after="0"/>
              <w:rPr>
                <w:sz w:val="15"/>
                <w:szCs w:val="15"/>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Reclassification of accounts receivable to other assets</w:t>
            </w: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60"/>
          </w:cols>
          <w:pgMar w:left="460" w:top="125" w:right="47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2022 and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currently conducted by our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or “Mouth”),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Mountaintop, Pennsylvania.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D2C specialty food via e-commerce through its own website at www.igourmet.com and through other channels such as www.amazon.com, www.ebay.com,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 and to launch new businesses leveraging the Company’s e-commerce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Plant Innovations is focused on plant-based D2C brands and online retail within the e-commerce 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Innovations provides 3rd party warehouse and fulfillment services out of its location at the Company’s PA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these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inventory reserves, income taxes, intangible assets, contingent liabilities,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subsidiaries, some of which are non-operating, Artisan, FII, FNM, OFB, GFG, GFW, Gourmeting, Haley, Oasis, igourmet, Food Funding, IFP, L Innovations, M Innovations, P Innovations, MIF, M Foods, PlantBelly, Plant Innovations, IFI, IGP, and Gourmet. All material intercompany transactions have been eliminated upon consolidation of these entities, some of which are non-operating.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For revenue from product sales (i.e., specialty foodservice and e-commerce), the Company recognizes revenue in accordance with Financial Accounting Standards Board (“FASB”)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from brand management services are comprised of fees and/or commissions associated with client sales. Revenue from brand management services are recognized at the point in time when services are rendered to the client.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by from sales for the years ended December 31, 2022 and 2021: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Specialty foodservice</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64,012,458</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40,757,952</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E-Commerce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13,992,138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19,518,169</w:t>
            </w:r>
          </w:p>
        </w:tc>
        <w:tc>
          <w:tcPr>
            <w:tcW w:w="8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National Brand Management</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1,171,335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1,036,564</w:t>
            </w:r>
          </w:p>
        </w:tc>
        <w:tc>
          <w:tcPr>
            <w:tcW w:w="8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Warehouse and Logistic Services</w:t>
            </w: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927,033</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899,463</w:t>
            </w:r>
          </w:p>
        </w:tc>
        <w:tc>
          <w:tcPr>
            <w:tcW w:w="80" w:type="dxa"/>
            <w:vAlign w:val="bottom"/>
          </w:tcPr>
          <w:p>
            <w:pPr>
              <w:spacing w:after="0"/>
              <w:rPr>
                <w:sz w:val="18"/>
                <w:szCs w:val="18"/>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80,102,964</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62,212,148</w:t>
            </w:r>
          </w:p>
        </w:tc>
        <w:tc>
          <w:tcPr>
            <w:tcW w:w="80" w:type="dxa"/>
            <w:vAlign w:val="bottom"/>
            <w:shd w:val="clear" w:color="auto" w:fill="CCEEFF"/>
          </w:tcPr>
          <w:p>
            <w:pPr>
              <w:spacing w:after="0"/>
              <w:rPr>
                <w:sz w:val="19"/>
                <w:szCs w:val="19"/>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included in selling, general, and administrative expenses all other costs which support the Company’s operations, but which are not includable as a cost of sales. These include primarily payroll, facility costs such as rent and utilities, selling expenses such as commissions and advertising, amortization of intangible assets, depreciation, and other administrative costs including professional fees and costs associated with non-cash stock compensation. Advertising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equivalents include all highly liquid debt instruments with original maturities of three months or less which are not securing any corporate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December 31, 2022 and 2021, trade receivables from the Company’s largest customer amounted to 20% and 28%, respectively, of total trade receivables. During the year ended December 31, 2022 and 2021, sales from the Company’s largest customer amounted to 49% and 46% of total sales, respectively.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December 31, 2022 and 2021, the total cash in excess of these limits was $3,205,568 and $4,555,032,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an allowance for doubtful accounts equal to the estimated uncollectible amounts. The Company’s estimate is based on historical collection experience and a review of the current status of trade accounts receivable. It is reasonably possible that the Company’s estimate of the allowance for doubtful accounts will change. Accounts receivable are presented net of an allowance for doubtful accounts of $340,225 and $375,931 at December 31, 2022, and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are valued at cost. Depreciation is provided over the estimated useful lives up to five years using the straight-line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depreciated on a straight-line basis over the term of the 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estimated service lives of property and equipment are as follows:</w:t>
      </w:r>
    </w:p>
    <w:p>
      <w:pPr>
        <w:sectPr>
          <w:pgSz w:w="11900" w:h="16838" w:orient="portrait"/>
          <w:cols w:equalWidth="0" w:num="1">
            <w:col w:w="10980"/>
          </w:cols>
          <w:pgMar w:left="460" w:top="125" w:right="4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Equipment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Warehouse Equipment - Heavy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 Furniture and Fixtures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10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30 years</w:t>
      </w:r>
    </w:p>
    <w:p>
      <w:pPr>
        <w:spacing w:after="0" w:line="234" w:lineRule="exact"/>
        <w:rPr>
          <w:sz w:val="20"/>
          <w:szCs w:val="20"/>
          <w:color w:val="auto"/>
        </w:rPr>
      </w:pPr>
    </w:p>
    <w:p>
      <w:pPr>
        <w:sectPr>
          <w:pgSz w:w="11900" w:h="16838" w:orient="portrait"/>
          <w:cols w:equalWidth="0" w:num="2">
            <w:col w:w="3920" w:space="720"/>
            <w:col w:w="6340"/>
          </w:cols>
          <w:pgMar w:left="460" w:top="125"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Inventory is valued at the lower of cost or market and is determined by the first-in, first-out method. In lieu of an inventory reserve, the Company adjusts inventory based upon bi-weekly cycle counts and upon the expiration date of food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acquired as of December 31, 2020</w:t>
            </w:r>
          </w:p>
        </w:tc>
        <w:tc>
          <w:tcPr>
            <w:tcW w:w="2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payments received</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2,392,745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(3,679,015)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8"/>
                <w:szCs w:val="18"/>
                <w:color w:val="auto"/>
              </w:rPr>
              <w:t>Balance as of December 31, 2021</w:t>
            </w:r>
          </w:p>
        </w:tc>
        <w:tc>
          <w:tcPr>
            <w:tcW w:w="2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1,631,406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received</w:t>
            </w:r>
          </w:p>
        </w:tc>
        <w:tc>
          <w:tcPr>
            <w:tcW w:w="2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Net sales recognized</w:t>
            </w:r>
          </w:p>
        </w:tc>
        <w:tc>
          <w:tcPr>
            <w:tcW w:w="2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(1,907,198)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2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1,558,155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adopted this standard effective January 1, 2021; the adoption of this standard has not had a material impact on our consolidated financial statements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carrying amount of the Company’s cash and cash equivalents, accounts receivable, notes payable, line of credit, accounts payable and accrued expenses, none of which is held for trading, approximates their estimated fair values due to the short-term maturities of those financial instruments.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adopted ASC 820-10, “Fair Value Measurements”, which provides a framework for measuring fair value under GAAP.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requires that valuation techniques maximize the use of observable inputs and minimize the use of unobservable inputs.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its property and equipment and any identifiable intangibles for impairment whenever events or changes in circumstances indicate that the carrying amount of an asset may not be recoverable. Recoverability of assets to be held and used is measured by a comparison of the carrying amount of an asset to the future undiscounted operating cash flow expected to be generated by the asset. If such assets are considered to be impaired, the impairment to be recognized is measured by the amount by which the carrying amount of the asset exceeds the fair value of the asset. Long-lived assets to be disposed of are reported at the lower of carrying amount or fair value less costs to sell. No impairment of long-lived assets was deemed necessary at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Method Investments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made several investments in early stage private food related companies and are accounting for these investments under the cost method. At December 31, 2022, the Company made the determination that it was unlikely to recover the cost of these investments, and recorded an impairment in the amount of $286,725.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Income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December 31,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December 31, 2022:</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1760" w:type="dxa"/>
            <w:vAlign w:val="bottom"/>
            <w:gridSpan w:val="2"/>
          </w:tcPr>
          <w:p>
            <w:pPr>
              <w:ind w:left="420"/>
              <w:spacing w:after="0"/>
              <w:rPr>
                <w:sz w:val="20"/>
                <w:szCs w:val="20"/>
                <w:color w:val="auto"/>
              </w:rPr>
            </w:pPr>
            <w:r>
              <w:rPr>
                <w:rFonts w:ascii="Arial" w:cs="Arial" w:eastAsia="Arial" w:hAnsi="Arial"/>
                <w:sz w:val="18"/>
                <w:szCs w:val="18"/>
                <w:b w:val="1"/>
                <w:bCs w:val="1"/>
                <w:color w:val="auto"/>
              </w:rPr>
              <w:t>Number</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Options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10"/>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r>
      <w:tr>
        <w:trPr>
          <w:trHeight w:val="216"/>
        </w:trPr>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0.90</w:t>
            </w:r>
          </w:p>
        </w:tc>
      </w:tr>
      <w:tr>
        <w:trPr>
          <w:trHeight w:val="210"/>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2022, the Company incurred obligations to issue the following shares of common stock pursuant to employment agreements: an aggregate total of 2,149,384 shares of common stock with a market value of $561,600 were accrued for issuance to its Chief Executive Officer; of this amount, 381,036 with a market value of $95,414 were withheld for the payment of income taxes, and the net number of shares issuable to the Chief Executive Officer was 1,768,348 with a market value of $466,186. Also during the period an aggregate total of 103,256 shares of common stock with a market value of $40,000 were accrued for issuance to two board members. These restricted stock grants are being amortized over their vesting periods of one to three years. During the year ended December 31, 2022, the total amount of $506,186 was charged to non-cash compensation and $95,414 was charged to cash compensation in connection with these grants.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December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December 31, 2021:</w:t>
      </w:r>
    </w:p>
    <w:p>
      <w:pPr>
        <w:spacing w:after="0" w:line="166"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Exercise</w:t>
            </w:r>
          </w:p>
        </w:tc>
        <w:tc>
          <w:tcPr>
            <w:tcW w:w="1860" w:type="dxa"/>
            <w:vAlign w:val="bottom"/>
            <w:gridSpan w:val="2"/>
          </w:tcPr>
          <w:p>
            <w:pPr>
              <w:ind w:left="520"/>
              <w:spacing w:after="0"/>
              <w:rPr>
                <w:sz w:val="20"/>
                <w:szCs w:val="20"/>
                <w:color w:val="auto"/>
              </w:rPr>
            </w:pPr>
            <w:r>
              <w:rPr>
                <w:rFonts w:ascii="Arial" w:cs="Arial" w:eastAsia="Arial" w:hAnsi="Arial"/>
                <w:sz w:val="18"/>
                <w:szCs w:val="18"/>
                <w:b w:val="1"/>
                <w:bCs w:val="1"/>
                <w:color w:val="auto"/>
              </w:rPr>
              <w:t>Number</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Price</w:t>
            </w:r>
          </w:p>
        </w:tc>
        <w:tc>
          <w:tcPr>
            <w:tcW w:w="180" w:type="dxa"/>
            <w:vAlign w:val="bottom"/>
          </w:tcPr>
          <w:p>
            <w:pPr>
              <w:spacing w:after="0"/>
              <w:rPr>
                <w:sz w:val="20"/>
                <w:szCs w:val="20"/>
                <w:color w:val="auto"/>
              </w:rPr>
            </w:pPr>
          </w:p>
        </w:tc>
        <w:tc>
          <w:tcPr>
            <w:tcW w:w="16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of Options</w:t>
            </w:r>
          </w:p>
        </w:tc>
        <w:tc>
          <w:tcPr>
            <w:tcW w:w="1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r>
      <w:tr>
        <w:trPr>
          <w:trHeight w:val="209"/>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0.60</w:t>
            </w: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0.62</w:t>
            </w:r>
          </w:p>
        </w:tc>
        <w:tc>
          <w:tcPr>
            <w:tcW w:w="168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0.85</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09"/>
        </w:trPr>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0.99</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0"/>
        </w:trPr>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2021,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2021, the Company incurred obligations to issue the following shares of common stock pursuant to employment agreements: an aggregate total of 961,897 shares of common stock to its Chief Executive Officer; 59,016 to its Director of Strategic Acquisitions, an aggregate total of 200,282 shares to board members; and 74,076 shares to an employee. These restricted stock grants are being amortized over their vesting periods of one to three years. During the year ended December 31, 2021, the amount of $523,977 was charged to operations in connection with these grants.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adopted this standard effective January 1, 2021; the adoption of this standard has not had a material impact on our consolidated financial statements and related disclosures.</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2. ACCOUNTS RECEIVABLE</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At December 31, 2022 and 2021, accounts receivable consists of:</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customers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5,309,620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3,632,695</w:t>
            </w:r>
          </w:p>
        </w:tc>
        <w:tc>
          <w:tcPr>
            <w:tcW w:w="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(340,225)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(375,931)</w:t>
            </w:r>
          </w:p>
        </w:tc>
      </w:tr>
      <w:tr>
        <w:trPr>
          <w:trHeight w:val="20"/>
        </w:trPr>
        <w:tc>
          <w:tcPr>
            <w:tcW w:w="1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4,969,395</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3,256,764</w:t>
            </w:r>
          </w:p>
        </w:tc>
        <w:tc>
          <w:tcPr>
            <w:tcW w:w="80" w:type="dxa"/>
            <w:vAlign w:val="bottom"/>
            <w:shd w:val="clear" w:color="auto" w:fill="CCEEFF"/>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years ended December 31, 2022 and 2021, the Company charged (recovered) the amount of $(1,915) and $31,756, respectively, to bad debt expense.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2021, the Company entered into a note receivable agreement with a customer in exchange for accounts receivable in the amount of $22,380. This note bears an interest rate of 5% per annum and is due in full on July 31,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specialty food products. At December 31, 2022 and 2021, inventory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3,109,984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Allowance for slow moving &amp; obsolete inventory</w:t>
            </w: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0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 net</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3,053,852</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3,109,984</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42</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4. PROPERTY AND EQUIPMENT</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380" w:type="dxa"/>
            <w:vAlign w:val="bottom"/>
            <w:gridSpan w:val="3"/>
          </w:tcPr>
          <w:p>
            <w:pPr>
              <w:spacing w:after="0"/>
              <w:rPr>
                <w:sz w:val="20"/>
                <w:szCs w:val="20"/>
                <w:color w:val="auto"/>
              </w:rPr>
            </w:pPr>
            <w:r>
              <w:rPr>
                <w:rFonts w:ascii="Arial" w:cs="Arial" w:eastAsia="Arial" w:hAnsi="Arial"/>
                <w:sz w:val="18"/>
                <w:szCs w:val="18"/>
                <w:color w:val="auto"/>
                <w:w w:val="94"/>
              </w:rPr>
              <w:t>A summary of property and equipment at December 31, 2022 and 2021 is as follows: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w:t>
            </w: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Building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7,191,451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7,191,451</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609,018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593,566</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Warehouse Equipment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378,957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376,667</w:t>
            </w:r>
          </w:p>
        </w:tc>
        <w:tc>
          <w:tcPr>
            <w:tcW w:w="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1,021,481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944,233</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Vehicles</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8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10,567,243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10,472,253</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(2,645,682)</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(2,286,026)</w:t>
            </w: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7,921,561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8,186,227</w:t>
            </w:r>
          </w:p>
        </w:tc>
        <w:tc>
          <w:tcPr>
            <w:tcW w:w="80" w:type="dxa"/>
            <w:vAlign w:val="bottom"/>
            <w:shd w:val="clear" w:color="auto" w:fill="CCEEFF"/>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property and equipment amounted to $379,632 and $388,657 for the years ended December 31, 2022 and 2021, respectively, which is recorded in selling, general &amp; administrating expenses on the Company’s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RIGHT OF USE (</w:t>
      </w:r>
      <w:r>
        <w:rPr>
          <w:rFonts w:ascii="Arial" w:cs="Arial" w:eastAsia="Arial" w:hAnsi="Arial"/>
          <w:sz w:val="18"/>
          <w:szCs w:val="18"/>
          <w:color w:val="auto"/>
        </w:rPr>
        <w:t>“</w:t>
      </w:r>
      <w:r>
        <w:rPr>
          <w:rFonts w:ascii="Arial" w:cs="Arial" w:eastAsia="Arial" w:hAnsi="Arial"/>
          <w:sz w:val="18"/>
          <w:szCs w:val="18"/>
          <w:b w:val="1"/>
          <w:bCs w:val="1"/>
          <w:color w:val="auto"/>
        </w:rPr>
        <w:t>ROU</w:t>
      </w:r>
      <w:r>
        <w:rPr>
          <w:rFonts w:ascii="Arial" w:cs="Arial" w:eastAsia="Arial" w:hAnsi="Arial"/>
          <w:sz w:val="18"/>
          <w:szCs w:val="18"/>
          <w:color w:val="auto"/>
        </w:rPr>
        <w:t>”</w:t>
      </w:r>
      <w:r>
        <w:rPr>
          <w:rFonts w:ascii="Arial" w:cs="Arial" w:eastAsia="Arial" w:hAnsi="Arial"/>
          <w:sz w:val="18"/>
          <w:szCs w:val="18"/>
          <w:b w:val="1"/>
          <w:bCs w:val="1"/>
          <w:color w:val="auto"/>
        </w:rPr>
        <w:t xml:space="preserve">) ASSETS AND LEASE LIABILITIES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lease expense for the years ended December 31, 2022 and December 31, 2021 was entirely comprised of operating leases and amounted to $78,849 and $120,304, respectively. The Company’s ROU asset amortization for the years ended December 31, 2022 and December 31, 2021 was $66,740 and $102,715, respectively. The difference between the lease expense and the associated ROU asset amortization consists of interest.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w w:val="99"/>
              </w:rPr>
              <w:t>Right of use assets – operating leases are summarized below:</w:t>
            </w:r>
          </w:p>
        </w:tc>
        <w:tc>
          <w:tcPr>
            <w:tcW w:w="1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2022</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Office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148,529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Vehicles</w:t>
            </w:r>
          </w:p>
        </w:tc>
        <w:tc>
          <w:tcPr>
            <w:tcW w:w="1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Right to use assets, net</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152,425</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lease liabilities are summarized below:</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2022</w:t>
            </w:r>
          </w:p>
        </w:tc>
        <w:tc>
          <w:tcPr>
            <w:tcW w:w="18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2021</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36,170</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Office</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148,529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Vehicles</w:t>
            </w:r>
          </w:p>
        </w:tc>
        <w:tc>
          <w:tcPr>
            <w:tcW w:w="1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152,425</w:t>
            </w: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current portion</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(64,987)</w:t>
            </w: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(74,088)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220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87,438</w:t>
            </w: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158,293</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Arial" w:cs="Arial" w:eastAsia="Arial" w:hAnsi="Arial"/>
                <w:sz w:val="18"/>
                <w:szCs w:val="18"/>
                <w:color w:val="auto"/>
                <w:w w:val="97"/>
              </w:rPr>
              <w:t>Maturity analysis under these lease agreements are as follows:</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72,294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17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20,689</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165,014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1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1100"/>
              <w:spacing w:after="0"/>
              <w:rPr>
                <w:sz w:val="20"/>
                <w:szCs w:val="20"/>
                <w:color w:val="auto"/>
              </w:rPr>
            </w:pPr>
            <w:r>
              <w:rPr>
                <w:rFonts w:ascii="Arial" w:cs="Arial" w:eastAsia="Arial" w:hAnsi="Arial"/>
                <w:sz w:val="18"/>
                <w:szCs w:val="18"/>
                <w:color w:val="auto"/>
              </w:rPr>
              <w:t>Lease liability</w:t>
            </w:r>
          </w:p>
        </w:tc>
        <w:tc>
          <w:tcPr>
            <w:tcW w:w="1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152,425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vMerge w:val="restart"/>
          </w:tcPr>
          <w:p>
            <w:pPr>
              <w:ind w:left="46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2022 and 2021, the Company recorded right to use assets and lease liabilities in the amount of $0 and $88,359, respectively, due to the execution of new operating lease agreements. During the year ended December 31, 2022, the Company recorded the removal of a right to use asset and lease liability in the amount of $13,216 due to damage to the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financing leases for vehicles and warehouse equipment. (See note 15.) Right of use asset – financing leases are summarized below:</w:t>
      </w:r>
    </w:p>
    <w:p>
      <w:pPr>
        <w:spacing w:after="0" w:line="24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362,358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Warehouse Equipment</w:t>
            </w:r>
          </w:p>
        </w:tc>
        <w:tc>
          <w:tcPr>
            <w:tcW w:w="1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555,416</w:t>
            </w:r>
          </w:p>
        </w:tc>
        <w:tc>
          <w:tcPr>
            <w:tcW w:w="80" w:type="dxa"/>
            <w:vAlign w:val="bottom"/>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917,774</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(389,951)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(248,735)</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570,323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669,039</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 ended December 31, 2022 and 2021 was $141,216 and $129,285, respectively.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years ended December 31, 2022 and 2021, the Company recorded right of use assets and lease liabilities in the amount of $42,500 and $21,885, respectively, due to the execution of new financing lease agreements.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Financing lease liabilities are summarized below:</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Financing lease obligation under a lease agreement for a forklift dated July 12, 2021 in the original</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amount of $16,070 payable in thirty-six monthly installments of $489 including interest at the rate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6.01%. During the year ended December 31, 2022, the Company made principal and interest payments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this lease obligation in the amounts of $5,192 and $675, respectively. During the year ended December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31, 2021, the Company made principal and interest payments on this lease obligation in the amounts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$2,482 and $452, respectively.</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a pallet truck dated July 15, 2021 in the original</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8"/>
              </w:rPr>
              <w:t>amount of $5,816 payable in thirty-six monthly installments of $177 including interest at the rate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6.01%. During the year ended December 31, 2022, the Company made principal and interest payments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this lease obligation in the amounts of $1,879 and $244, respectively. During the year ended December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31, 2021, the Company made principal and interest payments on this lease obligation in the amounts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$898 and $163, respectively.</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warehouse furniture and equipment truck dated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7"/>
              </w:rPr>
              <w:t>October 14, 2020 in the original amount of $514,173 payable in sixty monthly installments of $9,942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4"/>
              </w:rPr>
              <w:t>including interest at the rate of 6.01%. During the year ended December 31, 2022, the Company made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principal and interest payments on this lease obligation in the amount of $97,964 and $21,337,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8"/>
              </w:rPr>
              <w:t>respectively. During the year ended December 31, 2021, the Company made principal and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payments on this lease obligation in the amount of $92,269 and $27,034, respectively.</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399,688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Financing lease obligation under a lease agreement for a truck dated March 31, 2020 in the original</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$152,548 payable in eighty-four monthly installments of $2,188 including interest at the rate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5.44%. During the year ended December 31, 2022, the Company made principal and interest payments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0"/>
              </w:rPr>
              <w:t>this lease obligation in the amounts of $20,334 and $5,923, respectively. During the year ended December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w w:val="93"/>
              </w:rPr>
              <w:t>31, 2021, the Company made principal and interest payments on this lease obligation in the amounts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$19,259 and $6,998, respectively.</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2"/>
          </w:tcPr>
          <w:p>
            <w:pPr>
              <w:jc w:val="right"/>
              <w:ind w:right="207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4"/>
          </w:tcPr>
          <w:p>
            <w:pPr>
              <w:spacing w:after="0"/>
              <w:rPr>
                <w:sz w:val="20"/>
                <w:szCs w:val="20"/>
                <w:color w:val="auto"/>
              </w:rPr>
            </w:pPr>
            <w:r>
              <w:rPr>
                <w:rFonts w:ascii="Arial" w:cs="Arial" w:eastAsia="Arial" w:hAnsi="Arial"/>
                <w:sz w:val="18"/>
                <w:szCs w:val="18"/>
                <w:color w:val="0000EE"/>
              </w:rPr>
              <w:t>Index</w:t>
            </w: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Financing lease obligation under a lease agreement for a truck dated November 5, 2018 in the original</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amount of $128,587 payable in seventy monthly installments of $2,326 including interest at the rate of</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8.33%. During the year ended December 31, 2022, the Company made principal and interest payments on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this lease obligation in the amounts of $23,240 and $4,669, respectively. During the year ended December</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31, 2021, the Company made principal and interest payments on this lease obligation in the amounts of</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$21,388 and $6,521 respectively.</w:t>
            </w: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Financing lease obligation under a lease agreement for a truck dated August 23, 2019 in the original</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amount of $80,413 payable in eighty-four monthly installments of $1,148 including interest at the rate of</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5.0%. During the year ended December 31, 2022, the Company made principal and interest payments on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this lease obligation in the amounts of $11,215 and $2,562, respectively. During the year ended December</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31, 2021, the Company made principal and interest payments on this lease obligation in the amounts of</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$10,669 and $4,903, respectively.</w:t>
            </w: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1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Financing lease obligation under a lease agreement for a truck dated February 4, 2022 in the original</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9"/>
              </w:rPr>
              <w:t>amount of $42,500 payable in twenty-four monthly installments of $1,963 including interest at the rate of</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gridSpan w:val="8"/>
            <w:shd w:val="clear" w:color="auto" w:fill="CCEEFF"/>
          </w:tcPr>
          <w:p>
            <w:pPr>
              <w:spacing w:after="0" w:line="202" w:lineRule="exact"/>
              <w:rPr>
                <w:sz w:val="20"/>
                <w:szCs w:val="20"/>
                <w:color w:val="auto"/>
              </w:rPr>
            </w:pPr>
            <w:r>
              <w:rPr>
                <w:rFonts w:ascii="Arial" w:cs="Arial" w:eastAsia="Arial" w:hAnsi="Arial"/>
                <w:sz w:val="18"/>
                <w:szCs w:val="18"/>
                <w:color w:val="auto"/>
                <w:w w:val="96"/>
              </w:rPr>
              <w:t>10.1%. During the year ended December 31, 2022, the Company made principal and interest payments on</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this lease obligation in the amounts of $16,675 and $740, respectively.</w:t>
            </w:r>
          </w:p>
        </w:tc>
        <w:tc>
          <w:tcPr>
            <w:tcW w:w="9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34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Long-term maturities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333,092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6"/>
          </w:tcPr>
          <w:p>
            <w:pPr>
              <w:spacing w:after="0"/>
              <w:rPr>
                <w:sz w:val="20"/>
                <w:szCs w:val="20"/>
                <w:color w:val="auto"/>
              </w:rPr>
            </w:pPr>
            <w:r>
              <w:rPr>
                <w:rFonts w:ascii="Arial" w:cs="Arial" w:eastAsia="Arial" w:hAnsi="Arial"/>
                <w:sz w:val="18"/>
                <w:szCs w:val="18"/>
                <w:color w:val="auto"/>
                <w:w w:val="93"/>
              </w:rPr>
              <w:t>Aggregate maturities of lease liabilities – financing leases as of December 31, 2022 are as follows:</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8"/>
                <w:szCs w:val="18"/>
                <w:color w:val="auto"/>
              </w:rPr>
              <w:t>For the year ended December 31,</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gridSpan w:val="2"/>
            <w:vMerge w:val="restart"/>
          </w:tcPr>
          <w:p>
            <w:pPr>
              <w:spacing w:after="0"/>
              <w:rPr>
                <w:sz w:val="18"/>
                <w:szCs w:val="18"/>
                <w:color w:val="auto"/>
              </w:rPr>
            </w:pPr>
          </w:p>
        </w:tc>
        <w:tc>
          <w:tcPr>
            <w:tcW w:w="234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vMerge w:val="continue"/>
          </w:tcPr>
          <w:p>
            <w:pPr>
              <w:spacing w:after="0"/>
              <w:rPr>
                <w:sz w:val="18"/>
                <w:szCs w:val="18"/>
                <w:color w:val="auto"/>
              </w:rPr>
            </w:pPr>
          </w:p>
        </w:tc>
        <w:tc>
          <w:tcPr>
            <w:tcW w:w="234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191,977</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171,335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124,235</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2026</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33,174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525,069</w:t>
            </w:r>
          </w:p>
        </w:tc>
        <w:tc>
          <w:tcPr>
            <w:tcW w:w="100" w:type="dxa"/>
            <w:vAlign w:val="bottom"/>
            <w:shd w:val="clear" w:color="auto" w:fill="CCEEFF"/>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made investments in certain early stage food related companies. At December 31, 2022 and 2021 the Company had investments in seven food related companies in the aggregate amount of $286,725. At December 31, 2022, the Company made the determination that it was unlikely to recover the cost of these investments, and recorded an impairment in the amount of $286,725.</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2021, the founder of one of the food related companies passed away in an untimely tragic accident, and as a result the food related company ceased operations and the Company recognized an impairment in the amount of $209,850 in connection with that investment.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igourmet, OFB, Haley, and M Innovations. These assets include non-compete agreements, customer relationships, trade names, internally developed technology, and goodwill. The Company has also capitalized the development of its website.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Amortizable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amortizable intangible assets consist of $1,055,400 of trade names held by igourmet, $260,422 of trade names held by Mouth, and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igourmet, OFB, Haley, and M Innovations. The following is the net book value of these assets:</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December 31, 2022</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Amortization</w:t>
            </w:r>
          </w:p>
        </w:tc>
        <w:tc>
          <w:tcPr>
            <w:tcW w:w="3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09"/>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875,643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(875,643)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Website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(53,006)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80" w:type="dxa"/>
            <w:vAlign w:val="bottom"/>
            <w:shd w:val="clear" w:color="auto" w:fill="CCEEFF"/>
          </w:tcPr>
          <w:p>
            <w:pPr>
              <w:spacing w:after="0"/>
              <w:rPr>
                <w:sz w:val="18"/>
                <w:szCs w:val="18"/>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2,491,925</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(926,649)</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1,563,276</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December 31, 2021</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Amortization</w:t>
            </w:r>
          </w:p>
        </w:tc>
        <w:tc>
          <w:tcPr>
            <w:tcW w:w="340" w:type="dxa"/>
            <w:vAlign w:val="bottom"/>
          </w:tcPr>
          <w:p>
            <w:pPr>
              <w:spacing w:after="0"/>
              <w:rPr>
                <w:sz w:val="20"/>
                <w:szCs w:val="20"/>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r>
      <w:tr>
        <w:trPr>
          <w:trHeight w:val="209"/>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875,643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(875,643)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Website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72,218</w:t>
            </w:r>
          </w:p>
        </w:tc>
        <w:tc>
          <w:tcPr>
            <w:tcW w:w="80" w:type="dxa"/>
            <w:vAlign w:val="bottom"/>
            <w:shd w:val="clear" w:color="auto" w:fill="CCEEFF"/>
          </w:tcPr>
          <w:p>
            <w:pPr>
              <w:spacing w:after="0"/>
              <w:rPr>
                <w:sz w:val="18"/>
                <w:szCs w:val="18"/>
                <w:color w:val="auto"/>
              </w:rPr>
            </w:pPr>
          </w:p>
        </w:tc>
      </w:tr>
      <w:tr>
        <w:trPr>
          <w:trHeight w:val="20"/>
        </w:trPr>
        <w:tc>
          <w:tcPr>
            <w:tcW w:w="38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2,491,925</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(887,425)</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1,604,500</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2022, the Company charged to operations amortization expense in the amount of $41,224. During the year ended December 31, 2021, the Company charged to operations amortization expense in the amount of $8,912.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Amortization of finite life intangible assets as of December 31, 2022 is as follows: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December 31, 2023</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gridSpan w:val="2"/>
          </w:tcPr>
          <w:p>
            <w:pPr>
              <w:ind w:left="110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trade names are not considered finite-lived assets, and are not being amortized.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31, 2022 and December 31, 2021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liabilities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6,599,903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5,414,731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Accrued payroll and commissions</w:t>
            </w: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253,350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288,174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9"/>
        </w:trPr>
        <w:tc>
          <w:tcPr>
            <w:tcW w:w="110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6,853,253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5,702,905</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10. ACCRUED INTEREST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Arial" w:cs="Arial" w:eastAsia="Arial" w:hAnsi="Arial"/>
                <w:sz w:val="18"/>
                <w:szCs w:val="18"/>
                <w:color w:val="auto"/>
              </w:rPr>
              <w:t>At December 31, 2022, accrued interest - on notes outstanding was $18,104.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Arial" w:cs="Arial" w:eastAsia="Arial" w:hAnsi="Arial"/>
                <w:sz w:val="18"/>
                <w:szCs w:val="18"/>
                <w:color w:val="auto"/>
              </w:rPr>
              <w:t>At December 31, 2021, accrued interest - on notes outstanding was $29,349.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11. REVOLVING CREDIT FACILITIES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 June 6, 2022, the Company entered into a revolving credit facility (the “MapleMark Revolver”) with</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MapleMark Bank ("MapleMark”) in the initial amount of $2,014,333. The borrowing base amount is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based upon 80% of eligible accounts receivables and 60% of eligible inventory. This amount was paid by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MapleMark directly to Fifth Third Bank in satisfaction of the Fifth Third Bank Line of Credit. Any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amounts borrowed under the MapleMark Revolver will bear interest at the greater of (a) the Base Rate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(the rate of interest per annum quoted in the “Money Rates” section of The Wall Street Journal from time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to time and designated as the “Prime Rate”) plus 0.25% per annum and (b) 3.50% per annum. At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December 31, 2022, the interest rate was 7.75%. The MapleMark Revolver matures on May 27, 2023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 the event United States Department of Agriculture issues a guarantee of repayment of the MapleMark</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Revolver in favor of the Company pursuant to its Business and Industry Loan Guarantee Program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“USDA Guarantee”), at the Company’s option, the amount of the MapleMark Revolver can be expanded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to $3,000,000 and its term extended to November 28, 2023. The Company has applied for a USDA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Guarantee; at December 31, 2022, this guarantee had not yet been received. The MapleMark Revolver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contains certain negative covenants. The Company is also subject to a fixed charge coverage ratio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covenant for the Revolver Loan as described in more detail in the MapleMark Revolver. The Company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recorded a discount to this loan in the amount of $29,832 in connection with financing costs which was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amortized to interest expense during the year ended December 31, 2022. During the year ended December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 2022, the Company paid interest in the amount of $71,145 on the MapleMark Revolver.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2,014,333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Line of credit facility with Fifth Third Bank in the original amount of $2,000,000 with an interest rate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LIBOR plus 3.00% (the “Fifth Third Bank Line of Credit”). Effective August 1, 2019, this credit facility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 extended to August 1, 2021. Effective as of July 31, 2021 this credit facility was extended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November 1, 2021: effective as of October 29, 2021, this credit facility was extended to March 1, 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and effective March 1, 2022, this credit facility was extended to June 30, 2022. The debt covenants of this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credit facility were waived until June 30, 2022. On March 20, 2020, the Company drew down the amount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of $2,000,000. During the year ended December 31, 2022, the Company paid interest in the amount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$47,389 on the Fifth Third Bank Line of Credit. On June 9, 2022, the total outstanding principal in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amount of $2,000,000 and accrued interest in the amount of $14,333 were paid directly to Fifth Third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Bank by MapleMark in connection with the MapleMark Revolver. As of December 31, 2022, the Fifth</w:t>
            </w:r>
          </w:p>
        </w:tc>
        <w:tc>
          <w:tcPr>
            <w:tcW w:w="60" w:type="dxa"/>
            <w:vAlign w:val="bottom"/>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Bank Line of Credit is paid in full.</w:t>
            </w:r>
          </w:p>
        </w:tc>
        <w:tc>
          <w:tcPr>
            <w:tcW w:w="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2,014,333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7720" w:type="dxa"/>
            <w:vAlign w:val="bottom"/>
            <w:tcBorders>
              <w:top w:val="single" w:sz="8" w:color="CCEEFF"/>
            </w:tcBorders>
            <w:gridSpan w:val="2"/>
          </w:tcPr>
          <w:p>
            <w:pPr>
              <w:jc w:val="right"/>
              <w:ind w:right="2160"/>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EE"/>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40" w:type="dxa"/>
            <w:vAlign w:val="bottom"/>
            <w:gridSpan w:val="3"/>
          </w:tcPr>
          <w:p>
            <w:pPr>
              <w:spacing w:after="0"/>
              <w:rPr>
                <w:sz w:val="20"/>
                <w:szCs w:val="20"/>
                <w:color w:val="auto"/>
              </w:rPr>
            </w:pPr>
            <w:r>
              <w:rPr>
                <w:rFonts w:ascii="Arial" w:cs="Arial" w:eastAsia="Arial" w:hAnsi="Arial"/>
                <w:sz w:val="18"/>
                <w:szCs w:val="18"/>
                <w:b w:val="1"/>
                <w:bCs w:val="1"/>
                <w:color w:val="auto"/>
              </w:rPr>
              <w:t>12. NOTES PAYABLE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Term Loan 1”) for the original amount of $5,324,733. This amount was paid by MapleMark directly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Fifth Third Bank in satisfaction the outstanding principal and interest due under existing loans with Fifth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Bank. The MapleMark Term Loan 1 matures on May 27, 2023. Upon receipt of the USDA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Guarantee, the Company will have the option of extending the term of the MapleMark Term Loan 1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6, 2052.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Amounts outstanding under the Term Loans will bear interest at the rate equal to the lesser of (a) the</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Journal) plus 1.25% per annum or (ii) 4.50% per annum. At December 31, 2022, the interest rate was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8.75%. The MapleMark loan matures on May 27, 2023 and in the event United States Department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Agriculture issues a guarantee of repayment of the MapleMark loan in favor of the Company pursuant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its Business and Industry Loan Guarantee Program (the “USDA Guarantee”), at the Company’s option,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the amount of the MapleMark loan can be expanded to $7,775,680. The Company has applied for 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USDA Guarantee; at December 31, 2022, this guarantee had not yet been received. The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Agreements contain negative covenants that, subject to certain exceptions, limits the ability of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Company and its subsidiaries to, among other things, incur additional indebtedness, make restricted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payments, pledge their assets as security, make investments, loans, advances, guarantees and acquisitions,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undergo fundamental changes and enter into transactions with affiliates. The Term Loan Agreements also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provides that the Company and its subsidiaries on a consolidated basis, meet a Fixed Charge Coverage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Ratio as described in detail in the Loan Agreements. The Term Loan Agreements contain events of default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that are customary for a facility of this nature, including (subject in certain cases to grace periods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thresholds) nonpayment of principal, nonpayment of interest, fees or other amounts, material inaccuracy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of  representations  and  warranties,  violation  of  covenants,  cross-default  to  certain  other  existing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indebtedness, bankruptcy or insolvency events, and certain judgment defaults as specified in the Term</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Loan Agreements. If an event of default occurs, the maturity of the amounts owed under the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Agreements may be accelerated. The obligations under the Term Loan Agreements are guaranteed by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Company and IFP and are secured by mortgages on their real estate located in Florida, Illinois,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Pennsylvania and substantially all of their assets, in each case, subject to certain exceptions and permitted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liens. The Company recorded a discount to this loan in the amount of $57,106 in connection with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financing costs which was amortized to interest expense during the year ended December 31, 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During the year ended December 31, 2022, the Company accrued interest in the amount of $219,238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this loan.</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5,324,733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On June 6, 2022, the Company entered into a term loan agreement with MapleMark (the “MapleMark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Term Loan 2”) for the original amount of $356,800. This amount was paid by MapleMark directly to Fifth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Third Bank in satisfaction the outstanding principal and interest due under existing loans with Fifth Third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Bank. The MapleMark Term Loan 2 matures on May 27, 2023. Upon receipt of the USDA Guarantee,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will have the option of extending the term of the Term Loan 2 to June 6, 2052.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Amounts outstanding under the Term Loans will bear interest at the rate equal to the lesser of (a) the</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Maximum Lawful Rate, or (b) the greater of (i) WSJP (the “Prime Rate” as published by The Wall Street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Journal) plus 1.25% per annum or (ii) 4.50% per annum. At December 31, 2022, the interest rate was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8.75%, The MapleMark loan matures on May 27, 2023 and in the event United States Department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Agriculture issues a guarantee of repayment of the MapleMark loan in favor of the Company pursuant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its Food &amp; Supply Guaranteed Loan Facility (the “USDA Guarantee”), at the Company’s option,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amount of the MapleMark loan can be expanded to $2,680,000. The Company has applied for a USDA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Guarantee; at December 31, 2022, this guarantee had not yet been received. The Term Loan Agreements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contain negative covenants that, subject to certain exceptions, limits the ability of the Company and its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subsidiaries to, among other things, incur additional indebtedness, make restricted payments, pledge their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assets as security, make investments, loans, advances, guarantees and acquisitions, undergo fundamental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changes and enter into transactions with affiliates. The Term Loan Agreements also provides that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Company and its subsidiaries on a consolidated basis, meet a Fixed Charge Coverage Ratio as described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 detail in the Loan Agreements. The Term Loan Agreements contain events of default that are customary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a facility of this nature, including (subject in certain cases to grace periods and thresholds)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nonpayment of principal, nonpayment of interest, fees or other amounts, material inaccuracy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representations and warranties, violation of covenants, cross-default to certain other existing indebtedness,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bankruptcy  or  insolvency  events,  and  certain  judgment  defaults  as  specified  in  the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Agreements. If an event of default occurs, the maturity of the amounts owed under the Term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Agreements may be accelerated. The obligations under the Term Loan Agreements are guaranteed by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Company and IFP and are secured by mortgages on their real estate located in Florida, Illinois, and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Pennsylvania and substantially all of their assets, in each case, subject to certain exceptions and permitted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liens. The Company recorded a discount to this loan in the amount of $23,367 in connection with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financing costs which was amortized to interest expense during the year ended December 31, 2022.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During the year ended December 31, 2022, the Company accrued interest in the amount of $14,690 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this loan.</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for the acquisition of land and building in Bonita Springs, Florida in the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amount of $546,000. Principal payments of $4,550 plus interest at the rate of Libor plus 3% are due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monthly. The balance of the principal amount was originally due February 28, 2018. On March 23, 2018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and effective February 26, 2018, this note was amended and renewed in the amount of $273,000, with</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monthly payments of principal and interest of $4,550 payable through the maturity date of February 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2023. During the year ended December 31, 2022, the Company made payments of principal and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on this note in the amounts of $22,750 and $655, respectively. On June 9, 2022, the principal and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due on this note in the amount of $45,500 and $66, respectively, were paid directly to Fifth Third Bank by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MapleMark in connection with MapleMark Term Loan 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Secured mortgage note payable for the acquisition of land and building in Broadview, Illinois in the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amount of $980,000. Principal payments of $8,167 plus interest at the rate of LIBOR plus 2.75% are due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monthly through April 2020, the remaining principal balance in the amount of $490,000 was originally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due May 29, 2020. Effective May 29, 2020, the note was amended and renewed such that principal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payments of $8,303 plus accrued interest were due beginning June 29, 2020 and continuing for sixty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months; the entire principal balance and all accrued interest will be due on May 29, 2025. During the year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ended December 31, 2022, the Company made payments of principal and interest on this note in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amounts of $40,833 and $3,781, respectively. On June 9, 2022, the principal and interest due on this note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in the amount of $310,333 and $901, respectively, were paid directly to Fifth Third Bank by Maple Mark</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connection with MapleMark Term Loan 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40" w:type="dxa"/>
            <w:vAlign w:val="bottom"/>
            <w:gridSpan w:val="3"/>
          </w:tcPr>
          <w:p>
            <w:pPr>
              <w:jc w:val="right"/>
              <w:ind w:right="216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December 31,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Promissory note dated March 22, 2019 in the original amount of $391,558 (the “Artisan Equipment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Loan”) payable to Fifth Third Bank. This loan is secured by the Company’s tangible and intangible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personal property and bears interest at the rate of 5.20%. The entire principal balance and all accrued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interest is due on the maturity date of March 21, 2024. Monthly payments in the amount of $7,425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including principal and interest commenced in April, 2019. During the year ended December 31, 2019,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equipment financed under the Artisan Equipment Loan in the amount of $33,075 was returned for credit.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During year ended December 31, 2022, the Company made payments of principal and interest on this loan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 the amounts of $30,523 and $3,467, respectively. On June 9, 2022, the principal and interest due on this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in the amount of $141,623 and $143, respectively, were paid directly to Fifth Third Bank by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MapleMark in connection with MapleMark Term Loan 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 note payable in the amount of $20,000. The Note was due in January 2006 and the Company is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currently accruing interest on this note at 1.9%. During the two years ended December 31, 2022,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Company accrued interest in the amount of $381 and $381, respectively, on this note. At December 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accrued interest on this note was $18,104.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Vehicle acquisition loan dated December 6, 2018 in the original amount of $51,088, payable in sixty</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monthly installments of $955 including interest at the rate of 4.61% maturing November 5, 2023. During</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the year ended December 30, 2022, the Company made principal and interest payments in the amount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$10,717 and $743, respectively. During the year ended December 30, 2021, the Company made principal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interest payments in the amount of $10,235 and $1,225, respectively.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Secured mortgage facility in the amount of $5,500,000 with Fifth Third Bank for the acquisition of land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building in Mountaintop, Pennsylvania dated November 8, 2019 (the “Fifth Third Mortgage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Facility”). The Fifth Third Mortgage Facility is secured by the assets acquired. During the year ended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2019, the Company drew down $3,600,000 of this facility. During the year ended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December 31, 2020, the Company drew down an additional $1,900,000 of this facility. The interest rate is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LIBOR plus 2.75% with interest only due through September 30, 2020, thereafter with principal</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amortized at a 20 years amortization rate and the balance due on the maturity date of September 2, 2025.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Company prepaid loan fees in connection with this loan in the amount of $72,916 which are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considered a discount to the loan and are being amortized over the term of the note; during the years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ended December 31, 2022 and 2021, $0 and $12,525, respectively, of this discount was amortized to</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interest expense. During the years ended December 31, 2021, the Company made principal and interest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payments in the amount of $198,800 and $142,073, respectively, on this loan. On June 9, 2022,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principal and interest due on this note in the amount of $5,168,000 and $14,967, respectively, were paid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directly to Fifth Third Bank by MapleMark in connection with MapleMark Term Loan 1. The Company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recorded a loss in the amount of $40,556 on this transaction in connection with the write-off of the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portion of the discount.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The Company also had in place an interest rate swap agreement (the “Fifth Third Interest Rate Swap”)</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with Fifth Third bank in connection with the Fifth Third Mortgage Facility. Pursuant to the Fifth Third</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Interest Rate Swap, the Company paid an additional base rate of 0.59% reduced by the difference between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an initial LIBOR rate of 0.1513% and the month-end LIBOR rate resulting in additional interest expense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of $5,632 and $26,258, respectively, during the years ended December 31, 2022 and 2021. On March 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2022 the Interest Rate Swap was terminated. Upon termination the Company received a cash payment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$294,000, which is reflected as a gain on the interest rate swap on the statement of operations for the year</w:t>
            </w:r>
          </w:p>
        </w:tc>
        <w:tc>
          <w:tcPr>
            <w:tcW w:w="60" w:type="dxa"/>
            <w:vAlign w:val="bottom"/>
            <w:vMerge w:val="restart"/>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5,235,600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ended December 31, 2022.</w:t>
            </w:r>
          </w:p>
        </w:tc>
        <w:tc>
          <w:tcPr>
            <w:tcW w:w="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720" w:type="dxa"/>
            <w:vAlign w:val="bottom"/>
            <w:tcBorders>
              <w:top w:val="single" w:sz="8" w:color="CCEEFF"/>
            </w:tcBorders>
            <w:gridSpan w:val="2"/>
          </w:tcPr>
          <w:p>
            <w:pPr>
              <w:jc w:val="right"/>
              <w:ind w:right="2160"/>
              <w:spacing w:after="0"/>
              <w:rPr>
                <w:sz w:val="20"/>
                <w:szCs w:val="20"/>
                <w:color w:val="auto"/>
              </w:rPr>
            </w:pPr>
            <w:r>
              <w:rPr>
                <w:rFonts w:ascii="Arial" w:cs="Arial" w:eastAsia="Arial" w:hAnsi="Arial"/>
                <w:sz w:val="18"/>
                <w:szCs w:val="18"/>
                <w:color w:val="auto"/>
              </w:rPr>
              <w:t>50</w:t>
            </w: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0000EE"/>
              </w:rPr>
              <w:t>Index</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6"/>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Discount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(46,012)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of discount</w:t>
            </w:r>
          </w:p>
        </w:tc>
        <w:tc>
          <w:tcPr>
            <w:tcW w:w="3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5,822,133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260" w:type="dxa"/>
            <w:vAlign w:val="bottom"/>
            <w:tcBorders>
              <w:top w:val="single" w:sz="8" w:color="CCEEFF"/>
            </w:tcBorders>
          </w:tcPr>
          <w:p>
            <w:pPr>
              <w:spacing w:after="0"/>
              <w:rPr>
                <w:sz w:val="17"/>
                <w:szCs w:val="17"/>
                <w:color w:val="auto"/>
              </w:rPr>
            </w:pPr>
          </w:p>
        </w:tc>
        <w:tc>
          <w:tcPr>
            <w:tcW w:w="3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Long-term maturities</w:t>
            </w:r>
          </w:p>
        </w:tc>
        <w:tc>
          <w:tcPr>
            <w:tcW w:w="3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5,868,145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20" w:type="dxa"/>
            <w:vAlign w:val="bottom"/>
            <w:gridSpan w:val="2"/>
          </w:tcPr>
          <w:p>
            <w:pPr>
              <w:spacing w:after="0"/>
              <w:rPr>
                <w:sz w:val="20"/>
                <w:szCs w:val="20"/>
                <w:color w:val="auto"/>
              </w:rPr>
            </w:pPr>
            <w:r>
              <w:rPr>
                <w:rFonts w:ascii="Arial" w:cs="Arial" w:eastAsia="Arial" w:hAnsi="Arial"/>
                <w:sz w:val="18"/>
                <w:szCs w:val="18"/>
                <w:color w:val="auto"/>
              </w:rPr>
              <w:t>Aggregate maturities of notes payable as of December 31, 2022 are as follows: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20" w:type="dxa"/>
            <w:vAlign w:val="bottom"/>
            <w:gridSpan w:val="2"/>
          </w:tcPr>
          <w:p>
            <w:pPr>
              <w:spacing w:after="0"/>
              <w:rPr>
                <w:sz w:val="20"/>
                <w:szCs w:val="20"/>
                <w:color w:val="auto"/>
              </w:rPr>
            </w:pPr>
            <w:r>
              <w:rPr>
                <w:rFonts w:ascii="Arial" w:cs="Arial" w:eastAsia="Arial" w:hAnsi="Arial"/>
                <w:sz w:val="18"/>
                <w:szCs w:val="18"/>
                <w:color w:val="auto"/>
              </w:rPr>
              <w:t>For the year ended December 31,</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20" w:type="dxa"/>
            <w:vAlign w:val="bottom"/>
            <w:gridSpan w:val="2"/>
          </w:tcPr>
          <w:p>
            <w:pPr>
              <w:ind w:left="27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the Company issued 50,000 two-year stock options with a fair value of $8,616 and an exercise price of $1.20 to a director.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2021, the Company sold a total of 3,125,000 shares of common stock at a price of $0.40 per share to an entity controlled by Hank Cohn, a director of the Company; the Company sold 3,125,000 shares of common stock at a price of $0.40 per share to an entity controlled by Jefferson Gramm, a director of the Company; and the Company sold 3,125,000 shares of common stock at a price of $0.40 per share to an entity controlled by James C. Pappas, a director of the Company, for total proceeds, net of costs, of $3,580,372.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equity related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result from the temporary differences primarily attributable to amortization of intangible assets and debt discount and an accumulation of net operating loss carryforwards for income tax purposes with a valuation allowance against the carryforwards for book purposes.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Included in deferred tax assets are Federal and State net operating loss carryforwards of approximately $15,808,000, which can be carried forward indefinitely subject to limitation, except $4,900,000 which can be carried forward through 2037.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Due to significant changes in the Company’s ownership, the Company’s future use of its existing net operating losses may be limited.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for the years ended December 31, 2022 and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2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Deferred</w:t>
            </w:r>
          </w:p>
        </w:tc>
        <w:tc>
          <w:tcPr>
            <w:tcW w:w="30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46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51</w:t>
            </w:r>
          </w:p>
        </w:tc>
        <w:tc>
          <w:tcPr>
            <w:tcW w:w="1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provision (benefit) for income taxes differs from the amount of income tax determined by applying the applicable statutory income tax rate of 27.6% for the years ended December 31, 2022 and 2021 to the loss before taxes as a result of the following differences:</w:t>
      </w:r>
    </w:p>
    <w:p>
      <w:pPr>
        <w:spacing w:after="0" w:line="142"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(1,350,002)</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Statutory tax rate</w:t>
            </w: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 at statutory rate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(373,000)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adjustments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(219,136)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416,136</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858,800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reflect the tax impact of temporary differences between the amounts of assets and liabilities for financial reporting purposes and such amounts as measured by tax laws and regulations.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taxes include the net tax effects of net operating loss (NOL) carryforwards and the temporary differences between the carrying amounts of assets and liabilities for financial reporting purposes and the amounts used for income tax purposes. As of December 31, 2022, and 2021 significant components of the Company’s deferred tax assets are as follows:</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1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4,363,000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Intangible assets</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607,500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5,222,700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(5,222,700)</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(4,886,100)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returns for the previous three years remain open for audit by the respective tax jurisdictions.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a total of 2,837,580 shares are issued but deemed not outstanding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2022, the Company issued 142,857 shares with a value of $48,543 to a service provider.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2022, total common stock outstanding in the amount of 48,089,657 includes 1,319,940 shares vested by management and directors pursuant to their compensation plans but not yet issued.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2021, total common stock outstanding in the amount of 46,041,751 includes 584,774 shares vested by management and directors pursuant to their compensation plans but not yet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125,000 two-year options with an exercise price of $0.41 per share and a grant date fair value of $1,708 to a service provider.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options vested upon issuance and will expire on April 25, 2024.</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issued 125,000 two-year options with an exercise price of $0.50 per share and a grant date fair value of $384 to a service provider. These options vested upon issuance and will expire on April 25, 2024.</w:t>
      </w:r>
    </w:p>
    <w:p>
      <w:pPr>
        <w:sectPr>
          <w:pgSz w:w="11900" w:h="16838" w:orient="portrait"/>
          <w:cols w:equalWidth="0" w:num="1">
            <w:col w:w="10960"/>
          </w:cols>
          <w:pgMar w:left="460" w:top="125" w:right="47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2021, the Company issued 50,000 two-year options with a fair value on the date of grant of $8,616 to a director at a price of $1.20 per share, vesting September 10, 2022, and expiring September 10, 2023.</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as of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3"/>
              </w:rPr>
              <w:t>exercise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Range of</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price of</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price of</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exercise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contractual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options</w:t>
            </w:r>
          </w:p>
        </w:tc>
        <w:tc>
          <w:tcPr>
            <w:tcW w:w="2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exercisable</w:t>
            </w:r>
          </w:p>
        </w:tc>
      </w:tr>
      <w:tr>
        <w:trPr>
          <w:trHeight w:val="234"/>
        </w:trPr>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Prices</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life (years)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r>
      <w:tr>
        <w:trPr>
          <w:trHeight w:val="210"/>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1.32</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0.41</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170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1.32</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0.50</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125,000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2.99</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0.60</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170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1.00</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0.62</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360,000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1.00</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0.85</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0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2.99</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1.00</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0.90</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1.20</w:t>
            </w: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1.07</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0.93</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2,300,000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Transactions involving stock options are summarized as follows: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Cancelled / Expired</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Options outstanding at December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Aggregate intrinsic value of options outstanding and exercisable at December 31, 2022 and 2021 was $0. Aggregate intrinsic value represents the difference between the Company’s closing stock price on the last trading day of the fiscal period, which was $0.21 and $0.33 as of December 31, 2022 and 2021, respectively, and the exercise price multiplied by the number of options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and 2021, the Company charged $8,738 and $144,274, respectively, to operations related to recognized stock-based compensation expense for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at grant dates in relation to the market price during 2022 and 2021 are as follows: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lower than market price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equal to market price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exceeded market price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 to 0.50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 to 1.50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there were 0 and 87,500, respectively, non-vested options outstanding.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valued stock options using the Black-Scholes valuation model utilizing the following variables: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3"/>
              </w:rPr>
              <w:t>December 31,</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r>
      <w:tr>
        <w:trPr>
          <w:trHeight w:val="209"/>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Dividends</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Term (years)</w:t>
            </w: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Pursuant to the igourmet Asset Purchase Agreement,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years ended December 31, 2022 and 2021, the Company paid the amount of $8,000 and 80,000, respectively, in connection with the additional liabilities. During the year ended December 31, 2022, the Company determined that these contingent liabilities were no longer needed as the time period for attainment of the contingencies had lapsed; accordingly, the balances of the contingent liabilities in the amounts of $67,000 and $108,000 were de-recognized and credited to gain on contingent liabilities. At December 31, 2022, the amount of contingent liabilities on the Company’s balance sheet in connection with the igourmet acquisition was $0.</w:t>
      </w:r>
    </w:p>
    <w:p>
      <w:pPr>
        <w:spacing w:after="0" w:line="16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During the year ended December 31, 2022, the Company determined that these contingent liabilities were no longer needed as the time period for attainment of the contingencies had lapsed; accordingly, the balance of the contingent liabilities in the amount of $120,000 was de-recognized and credited to gain on contingent liabilities. At December 31, 2022 the amount of contingent liabilities on the Company’s balance sheet was $0.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$50,000,000.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ectPr>
          <w:pgSz w:w="11900" w:h="16838" w:orient="portrait"/>
          <w:cols w:equalWidth="0" w:num="1">
            <w:col w:w="10980"/>
          </w:cols>
          <w:pgMar w:left="460" w:top="125" w:right="45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54" w:name="page55"/>
    <w:bookmarkEnd w:id="54"/>
    <w:p>
      <w:pPr>
        <w:ind w:left="2"/>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ind w:left="2"/>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17. MAJOR CUSTOMERS</w:t>
      </w:r>
    </w:p>
    <w:p>
      <w:pPr>
        <w:spacing w:after="0" w:line="229" w:lineRule="exact"/>
        <w:rPr>
          <w:sz w:val="20"/>
          <w:szCs w:val="20"/>
          <w:color w:val="auto"/>
        </w:rPr>
      </w:pPr>
    </w:p>
    <w:p>
      <w:pPr>
        <w:jc w:val="both"/>
        <w:ind w:left="2" w:right="20"/>
        <w:spacing w:after="0" w:line="289" w:lineRule="auto"/>
        <w:rPr>
          <w:sz w:val="20"/>
          <w:szCs w:val="20"/>
          <w:color w:val="auto"/>
        </w:rPr>
      </w:pPr>
      <w:r>
        <w:rPr>
          <w:rFonts w:ascii="Arial" w:cs="Arial" w:eastAsia="Arial" w:hAnsi="Arial"/>
          <w:sz w:val="16"/>
          <w:szCs w:val="16"/>
          <w:color w:val="auto"/>
        </w:rPr>
        <w:t>The Company’s largest customer, U.S. Foods, Inc. and its affiliates, accounted for approximately 49% and 46% of total sales in each of the years ended December 31, 2022 and 2021. A contract between our subsidiary, Food Innovations, and U.S. Foods entered an optional renewal period in December 2012 but was automatically extended for an additional 12 months in each of January 1, 2013 and 2014. On January 26, 2015 we executed a contract directly between Food Innovations, Inc., our wholly-owned subsidiary, and U.S. Foods, Inc. The term of the contract was from January 1, 2015 through December 31, 2016 and provided for a limited number of automatic annual renewals thereafter if no party gives the other 30 days’ notice of its intent not to renew. Based on the terms, the Agreement was extended through December 31, 2018. Effective January 1, 2018 the Agreement was further amended to remove the cap on renewals, and provide for an unlimited number of additional 12-month terms unless either party notifies the other in writing, 30 days prior to the end date, of its intent not to renew. In addition, Gate Gourmet, the leading global provider of airline catering solutions and provisioning services for airlines, in partnership with igourmet, represented 13% of total sales for the year ended December 31, 2022.</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18. FAIR VALUE MEASUREMENTS</w:t>
      </w:r>
    </w:p>
    <w:p>
      <w:pPr>
        <w:spacing w:after="0" w:line="229" w:lineRule="exact"/>
        <w:rPr>
          <w:sz w:val="20"/>
          <w:szCs w:val="20"/>
          <w:color w:val="auto"/>
        </w:rPr>
      </w:pPr>
    </w:p>
    <w:p>
      <w:pPr>
        <w:jc w:val="both"/>
        <w:ind w:left="2"/>
        <w:spacing w:after="0" w:line="263" w:lineRule="auto"/>
        <w:rPr>
          <w:sz w:val="20"/>
          <w:szCs w:val="20"/>
          <w:color w:val="auto"/>
        </w:rPr>
      </w:pPr>
      <w:r>
        <w:rPr>
          <w:rFonts w:ascii="Arial" w:cs="Arial" w:eastAsia="Arial" w:hAnsi="Arial"/>
          <w:sz w:val="18"/>
          <w:szCs w:val="18"/>
          <w:color w:val="auto"/>
        </w:rPr>
        <w:t>Our short-term financial instruments, including cash, accounts payable and other liabilities, consist primarily of instruments without extended maturities, the fair value of which, based on management’s estimates, reasonably approximate their book value. The fair value of the Company’s stock options is determined using option pricing models.</w:t>
      </w:r>
    </w:p>
    <w:p>
      <w:pPr>
        <w:spacing w:after="0" w:line="184" w:lineRule="exact"/>
        <w:rPr>
          <w:sz w:val="20"/>
          <w:szCs w:val="20"/>
          <w:color w:val="auto"/>
        </w:rPr>
      </w:pPr>
    </w:p>
    <w:p>
      <w:pPr>
        <w:jc w:val="both"/>
        <w:ind w:left="2" w:right="20"/>
        <w:spacing w:after="0" w:line="263" w:lineRule="auto"/>
        <w:rPr>
          <w:sz w:val="20"/>
          <w:szCs w:val="20"/>
          <w:color w:val="auto"/>
        </w:rPr>
      </w:pPr>
      <w:r>
        <w:rPr>
          <w:rFonts w:ascii="Arial" w:cs="Arial" w:eastAsia="Arial" w:hAnsi="Arial"/>
          <w:sz w:val="18"/>
          <w:szCs w:val="18"/>
          <w:color w:val="auto"/>
        </w:rPr>
        <w:t>As a result of the adoption of ASC 815-40, the Company is required to disclose the fair value measurements required by ASC 820, “Fair Value Measurements and Disclosures.” Hierarchical levels, defined by ASC 820 are directly related to the amount of subjectivity associated with the inputs to fair valuations of these liabilities are as follows:</w:t>
      </w:r>
    </w:p>
    <w:p>
      <w:pPr>
        <w:sectPr>
          <w:pgSz w:w="11900" w:h="16838" w:orient="portrait"/>
          <w:cols w:equalWidth="0" w:num="1">
            <w:col w:w="10982"/>
          </w:cols>
          <w:pgMar w:left="458" w:top="125" w:right="459" w:bottom="1440" w:gutter="0" w:footer="0" w:header="0"/>
        </w:sectPr>
      </w:pP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Level 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Inputs are unadjusted, quoted prices in active markets for identical assets or liabilities at the measurement date;</w:t>
      </w:r>
    </w:p>
    <w:p>
      <w:pPr>
        <w:spacing w:after="0" w:line="200" w:lineRule="exact"/>
        <w:rPr>
          <w:sz w:val="20"/>
          <w:szCs w:val="20"/>
          <w:color w:val="auto"/>
        </w:rPr>
      </w:pPr>
    </w:p>
    <w:p>
      <w:pPr>
        <w:sectPr>
          <w:pgSz w:w="11900" w:h="16838" w:orient="portrait"/>
          <w:cols w:equalWidth="0" w:num="2">
            <w:col w:w="542" w:space="640"/>
            <w:col w:w="9800"/>
          </w:cols>
          <w:pgMar w:left="458" w:top="125" w:right="459" w:bottom="1440" w:gutter="0" w:footer="0" w:header="0"/>
          <w:type w:val="continuous"/>
        </w:sectPr>
      </w:pPr>
    </w:p>
    <w:p>
      <w:pPr>
        <w:spacing w:after="0" w:line="48" w:lineRule="exact"/>
        <w:rPr>
          <w:sz w:val="20"/>
          <w:szCs w:val="20"/>
          <w:color w:val="auto"/>
        </w:rPr>
      </w:pPr>
    </w:p>
    <w:p>
      <w:pPr>
        <w:ind w:left="2"/>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Inputs other than Level 1 inputs that are either directly or indirectly observable; and</w:t>
      </w:r>
    </w:p>
    <w:p>
      <w:pPr>
        <w:spacing w:after="0" w:line="200" w:lineRule="exact"/>
        <w:rPr>
          <w:sz w:val="20"/>
          <w:szCs w:val="20"/>
          <w:color w:val="auto"/>
        </w:rPr>
      </w:pPr>
    </w:p>
    <w:p>
      <w:pPr>
        <w:sectPr>
          <w:pgSz w:w="11900" w:h="16838" w:orient="portrait"/>
          <w:cols w:equalWidth="0" w:num="2">
            <w:col w:w="542" w:space="640"/>
            <w:col w:w="9800"/>
          </w:cols>
          <w:pgMar w:left="458" w:top="125" w:right="459" w:bottom="1440" w:gutter="0" w:footer="0" w:header="0"/>
          <w:type w:val="continuous"/>
        </w:sectPr>
      </w:pPr>
    </w:p>
    <w:p>
      <w:pPr>
        <w:spacing w:after="0" w:line="48" w:lineRule="exact"/>
        <w:rPr>
          <w:sz w:val="20"/>
          <w:szCs w:val="20"/>
          <w:color w:val="auto"/>
        </w:rPr>
      </w:pPr>
    </w:p>
    <w:p>
      <w:pPr>
        <w:ind w:left="2"/>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for which little or no market data exist, therefore requiring an entity to develop its own assumptions.</w:t>
      </w:r>
    </w:p>
    <w:p>
      <w:pPr>
        <w:spacing w:after="0" w:line="200" w:lineRule="exact"/>
        <w:rPr>
          <w:sz w:val="20"/>
          <w:szCs w:val="20"/>
          <w:color w:val="auto"/>
        </w:rPr>
      </w:pPr>
    </w:p>
    <w:p>
      <w:pPr>
        <w:sectPr>
          <w:pgSz w:w="11900" w:h="16838" w:orient="portrait"/>
          <w:cols w:equalWidth="0" w:num="2">
            <w:col w:w="542" w:space="640"/>
            <w:col w:w="9800"/>
          </w:cols>
          <w:pgMar w:left="458" w:top="125" w:right="459" w:bottom="1440" w:gutter="0" w:footer="0" w:header="0"/>
          <w:type w:val="continuous"/>
        </w:sectPr>
      </w:pPr>
    </w:p>
    <w:p>
      <w:pPr>
        <w:spacing w:after="0" w:line="48" w:lineRule="exact"/>
        <w:rPr>
          <w:sz w:val="20"/>
          <w:szCs w:val="20"/>
          <w:color w:val="auto"/>
        </w:rPr>
      </w:pPr>
    </w:p>
    <w:p>
      <w:pPr>
        <w:jc w:val="both"/>
        <w:ind w:left="2" w:right="20"/>
        <w:spacing w:after="0" w:line="277" w:lineRule="auto"/>
        <w:rPr>
          <w:sz w:val="20"/>
          <w:szCs w:val="20"/>
          <w:color w:val="auto"/>
        </w:rPr>
      </w:pPr>
      <w:r>
        <w:rPr>
          <w:rFonts w:ascii="Arial" w:cs="Arial" w:eastAsia="Arial" w:hAnsi="Arial"/>
          <w:sz w:val="18"/>
          <w:szCs w:val="18"/>
          <w:color w:val="auto"/>
        </w:rPr>
        <w:t>As December 31, 2022 and 2021, the Company did not have financial assets or liabilities that are required to be accounted for at fair value on a recurring basis.</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19. LIQUIDITY</w:t>
      </w:r>
    </w:p>
    <w:p>
      <w:pPr>
        <w:spacing w:after="0" w:line="229" w:lineRule="exact"/>
        <w:rPr>
          <w:sz w:val="20"/>
          <w:szCs w:val="20"/>
          <w:color w:val="auto"/>
        </w:rPr>
      </w:pPr>
    </w:p>
    <w:p>
      <w:pPr>
        <w:jc w:val="both"/>
        <w:ind w:left="2"/>
        <w:spacing w:after="0" w:line="284" w:lineRule="auto"/>
        <w:rPr>
          <w:sz w:val="20"/>
          <w:szCs w:val="20"/>
          <w:color w:val="auto"/>
        </w:rPr>
      </w:pPr>
      <w:r>
        <w:rPr>
          <w:rFonts w:ascii="Arial" w:cs="Arial" w:eastAsia="Arial" w:hAnsi="Arial"/>
          <w:sz w:val="16"/>
          <w:szCs w:val="16"/>
          <w:color w:val="auto"/>
        </w:rPr>
        <w:t>On June 6, 2022, the Company entered into three loan agreements with MapleMark Bank: the MapleMark Revolver in the amount of $2,014,333, the MapleMark Term Loan 1 in the amount of $5,324,733, and the MapleMark Term Loan 2 in the amount of $356,800. See note 11. The aggregate principal amount of these loans is $7,695,866 at December 31, 2022. Each of these loans is currently due on May 27, 2023. These loans were entered into with the expectation of receiving a loan guarantee from the United States Department of Agriculture. The USDA Guarantee would provide the Company with the ability to: (i) increase the amount available under the MapleMark Revolver to a maximum of $3,000,000 and extend the due date to November 28, 2023; (ii) increase the amount available under the MapleMark Term Loan 1 to $7,775,680 and extend the due date to June 6, 2052; and</w:t>
      </w:r>
    </w:p>
    <w:p>
      <w:pPr>
        <w:spacing w:after="0" w:line="4" w:lineRule="exact"/>
        <w:rPr>
          <w:sz w:val="20"/>
          <w:szCs w:val="20"/>
          <w:color w:val="auto"/>
        </w:rPr>
      </w:pPr>
    </w:p>
    <w:p>
      <w:pPr>
        <w:ind w:left="2" w:right="20" w:hanging="2"/>
        <w:spacing w:after="0" w:line="260" w:lineRule="auto"/>
        <w:tabs>
          <w:tab w:leader="none" w:pos="34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amount available under the MapleMark Term Loan 2 to $2,680,000 and extend the due date to June 6, 2052. The Company has submitted its application for the USDA Guarantee, but it has not been received as of March 28, 2023.</w:t>
      </w:r>
    </w:p>
    <w:p>
      <w:pPr>
        <w:spacing w:after="0" w:line="18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maintain a dialogue with MapleMark Bank regarding the status of the USDA Guarantee and the MapleMark Loans. We have previously secured two 90 day extensions of the MapleMark loans, from November 26, 2022 to February 26, 2023; and to May 27, 2023. If the USDA Guarantee is not received by May 6, 2023, we will apply for an additional 90 day extension of the MapleMark Loans. If, by May 15, 2023, we are unable to obtain an additional extension from MapleMark or if the USDA Guarantee is denied, we will begin renewed negotiations with MapleMark for loans to replace the existing loans but with terms not supported by the USDA Guarantee. MapleMark has indicated their willingness to proceed along these lines if necessary. If we are unable to negotiate revised loan agreements with MapleMark by June 1, 2023, we will begin negotiations with other lenders who have previously expressed interest in providing the Company with debt financing. The Company has received appraisals of our land and buildings at a combined value of approximately $19,900,000 which would be available to collateralize any such loans. In the highly unlikely event that we are unable to secure alternative debt financing pursuant to these negotiations by June 15, 2023, we would enter into factoring arrangements in order to partially finance the payment of the MapleMark principal balances. At March 28, 2023, we had cash on hand of approximately $1,895,000 (unaudited) and accounts receivable of approximately $4,262,000 (unaudited) which would be available to pay down and collateralize further paydown of the MapleMark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Bill Bennett as CEO and Director</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3, 2023, the Company entered into an Executive Employment Agreement with Robert William (Bill) Bennett (the “RWB Agreement”). The RWB Agreement provides, among other things, for Mr. Bennett to become the Company’s Chief Executive Officer and Mr. Bennett, and one designee, to be nominated to the Company’s Board of Directors during his tenure as CEO.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Resignation of Sam Klepfish as CEO</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3, 2023, the Company entered into an Agreement and General Release and a Side Letter thereto with Sam Klepfish (the “SK Agreements”). The SK Agreements provide, among other things, for Mr. Kelpfish’s resignation from all positions with the Company and its subsidiaries on the Separation Date, except that Mr. Klepfish will remain a director and Chairman of the Board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Resignation of Justin Weirnasz as Director of Strategic Alliances and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1, 2023, for personal reasons, Mr. Justin Wiernasz resigned as our Director of Strategic Acquisitions and as a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Appointment of Denver Smith as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13, 2023, Mr. Denver J. Smith was appointed to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Extension of MapleMark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February 26, 2023, the MapleMark loans were extended to May 27,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Issuance of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28, 2023, the Company recorded 400,007 shares of common stock with a weighted average price of $0.23 per share issuable to Sam Klepfish, its Chairman and ex-CEO, pursuant to his employment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28, 2023, the Company issued a total of 267,030 shares of common stock at a price of $0.37 per share as compensation to three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6" w:name="page57"/>
    <w:bookmarkEnd w:id="56"/>
    <w:p>
      <w:pPr>
        <w:ind w:left="2"/>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left="2" w:right="20"/>
        <w:spacing w:after="0" w:line="288" w:lineRule="auto"/>
        <w:rPr>
          <w:sz w:val="20"/>
          <w:szCs w:val="20"/>
          <w:color w:val="auto"/>
        </w:rPr>
      </w:pPr>
      <w:r>
        <w:rPr>
          <w:rFonts w:ascii="Arial" w:cs="Arial" w:eastAsia="Arial" w:hAnsi="Arial"/>
          <w:sz w:val="16"/>
          <w:szCs w:val="16"/>
          <w:color w:val="auto"/>
        </w:rPr>
        <w:t>Under the supervision and with the participation of our principal executive officer and principal financial officer, we conducted an evaluation of our disclosure controls and procedures, as such term is defined under Rules 13a-15(e) and 15d-15(e)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We concluded that our disclosure controls and procedures as defined in Rule 13a-15(e) under the Exchange Act were effective as of December 31, 2022 to ensure that information required to be disclosed in reports we file or submit under the Exchange Act is recorded, processed, and summarized and reported within the time periods specified in SEC rules and forms and our disclosure controls and procedures are also effective to ensure that the information required to be disclosed in reports that we file under the Exchange Act is accumulated and communicated to our principal executive and financial officers to allow timely decisions regarding required disclosures.</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229"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and 15d-</w:t>
      </w:r>
    </w:p>
    <w:p>
      <w:pPr>
        <w:spacing w:after="0" w:line="46" w:lineRule="exact"/>
        <w:rPr>
          <w:sz w:val="20"/>
          <w:szCs w:val="20"/>
          <w:color w:val="auto"/>
        </w:rPr>
      </w:pPr>
    </w:p>
    <w:p>
      <w:pPr>
        <w:jc w:val="both"/>
        <w:ind w:left="2" w:right="20" w:hanging="2"/>
        <w:spacing w:after="0" w:line="250"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Exchange Act. Our internal control over financial reporting are designed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w:t>
      </w:r>
    </w:p>
    <w:p>
      <w:pPr>
        <w:spacing w:after="0" w:line="1" w:lineRule="exact"/>
        <w:rPr>
          <w:rFonts w:ascii="Arial" w:cs="Arial" w:eastAsia="Arial" w:hAnsi="Arial"/>
          <w:sz w:val="18"/>
          <w:szCs w:val="18"/>
          <w:color w:val="auto"/>
        </w:rPr>
      </w:pPr>
    </w:p>
    <w:p>
      <w:pPr>
        <w:ind w:left="222" w:hanging="222"/>
        <w:spacing w:after="0"/>
        <w:tabs>
          <w:tab w:leader="none" w:pos="222"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0" w:lineRule="exact"/>
        <w:rPr>
          <w:rFonts w:ascii="Arial" w:cs="Arial" w:eastAsia="Arial" w:hAnsi="Arial"/>
          <w:sz w:val="17"/>
          <w:szCs w:val="17"/>
          <w:color w:val="auto"/>
        </w:rPr>
      </w:pPr>
    </w:p>
    <w:p>
      <w:pPr>
        <w:jc w:val="both"/>
        <w:ind w:left="2" w:right="20" w:hanging="2"/>
        <w:spacing w:after="0" w:line="250" w:lineRule="auto"/>
        <w:tabs>
          <w:tab w:leader="none" w:pos="2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the preparation of our consolidated financial statements in accordance with U.S.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2" w:right="20" w:hanging="2"/>
        <w:spacing w:after="0" w:line="260" w:lineRule="auto"/>
        <w:tabs>
          <w:tab w:leader="none" w:pos="3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85" w:lineRule="exact"/>
        <w:rPr>
          <w:sz w:val="20"/>
          <w:szCs w:val="20"/>
          <w:color w:val="auto"/>
        </w:rPr>
      </w:pPr>
    </w:p>
    <w:p>
      <w:pPr>
        <w:jc w:val="both"/>
        <w:ind w:left="2"/>
        <w:spacing w:after="0" w:line="254"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2022. In making this assessment, management used the criteria set forth in Internal Control Over Financial Reporting — Guidance for Smaller Public Companies issued by the Committee of Sponsoring Organizations of the Treadway Commission (2013). Management previously identified a control deficiency regarding the integration of two acquisitions in 2018 and as a result management had previously concluded our internal control over financial reporting was ineffective at the reasonable assurance level. To address this matter, we named a new Chief Financial Officer effective December 29, 2020 and also retained additional qualified personnel. As a result, Management concluded that the Company’s internal control over financial reporting as of December 31, 2022 is effective at the reasonable assurance level.</w:t>
      </w:r>
    </w:p>
    <w:p>
      <w:pPr>
        <w:spacing w:after="0" w:line="19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29" w:lineRule="exact"/>
        <w:rPr>
          <w:sz w:val="20"/>
          <w:szCs w:val="20"/>
          <w:color w:val="auto"/>
        </w:rPr>
      </w:pPr>
    </w:p>
    <w:p>
      <w:pPr>
        <w:jc w:val="both"/>
        <w:ind w:left="2" w:right="20"/>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 Accordingly, our internal controls and procedures are designed to provide reasonable assurance of achieving their objectives.</w:t>
      </w:r>
    </w:p>
    <w:p>
      <w:pPr>
        <w:spacing w:after="0" w:line="192"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made no change in our internal control over financial reporting during the last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temporary rules of the SEC that permit us to provide only management’s report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Disclosures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Set forth below are the directors and executive officers of our Company, their respective names and ages, positions with our Company, principal occupations and business experiences during at least the past five years.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160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5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3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shd w:val="clear" w:color="auto" w:fill="000000"/>
          </w:tcPr>
          <w:p>
            <w:pPr>
              <w:spacing w:after="0" w:line="20" w:lineRule="exact"/>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Bill Bennett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Sam Klepfish</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48</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Chairman</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1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81</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Hank Cohn</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53</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David Polinsky</w:t>
            </w:r>
          </w:p>
        </w:tc>
        <w:tc>
          <w:tcPr>
            <w:tcW w:w="1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52</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James C. Pappas</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41</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Mark Schmulen</w:t>
            </w:r>
          </w:p>
        </w:tc>
        <w:tc>
          <w:tcPr>
            <w:tcW w:w="1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42</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Jefferson Gramm</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47</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Denver J. Smith</w:t>
            </w:r>
          </w:p>
        </w:tc>
        <w:tc>
          <w:tcPr>
            <w:tcW w:w="16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35</w:t>
            </w:r>
          </w:p>
        </w:tc>
        <w:tc>
          <w:tcPr>
            <w:tcW w:w="5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Richard Tang</w:t>
            </w:r>
          </w:p>
        </w:tc>
        <w:tc>
          <w:tcPr>
            <w:tcW w:w="162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59</w:t>
            </w: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Bennett, Chief Executive Officer and Director</w:t>
      </w:r>
    </w:p>
    <w:p>
      <w:pPr>
        <w:spacing w:after="0" w:line="229"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William (Bill) Bennett has been a director and our CEO since February 28, 2023. Prior thereto, Mr. Bennett was most recently Vice President of eCommerce for The Kroger Co. from 2020 until 2023. In this role, he was responsible for the company’s $10 billion eCommerce business, leading cross-functional partners in marketing, merchandising, product management, supply chain, technology, and analytics to develop and lead a robust eCommerce go-to-market and growth strategy across the enterprise. Mr. Bennett joined Kroger from Walmart where he served for seven years, from 2013 to 2020, in a variety of eCommerce and store leadership roles, including finance, merchandising, strategy, analytics, and product management. Prior to Walmart, from 2011 to 2013, Mr. Bennett led the pricing strategy team at S.C. Johnson and served in a variety of leadership roles at General Mills from 2006 to 2011. Mr. Bennett received a bachelor’s degree in Business Management with an emphasis in Finance from Brigham Young University and an MBA from the Fuqua School of Business at Duke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 Klepfish, Chairman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Klepfish has been a director since December 1, 2005. From November 2007 to February 28, 2023 Mr. Klepfish was the CEO of Innovative Food Holdings and its subsidiaries. From March 2006 to November 2007 Mr. Klepfish was the interim president of the Company and its subsidiary. Since February 2005 Mr. Klepfish was also a Managing Partner at ISG Capital, a merchant bank. From May 2004 through February 2005 Mr. Klepfish served as a Managing Director of Technoprises, Ltd. From January 2001 to May 2004 he was a corporate finance analyst and consultant at Phillips Nizer, a New York law firm. Since January 2001 Mr. Klepfish has been a member of the steering committee of Tri-State Ventures, a New York investment group. From 1998 to December 2000, Mr. Klepfish was an asset manager for several investors in small-cap entities.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Joel Gold, Director</w:t>
      </w:r>
    </w:p>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Mr. Gold is currently a partner in a merchant banking firm, and has served on the board and committees of numerous companies. Prior to that, he was an investment banker at Buckman, Buckman and Reid located in New Jersey, a position he held since May 2010. Prior there to, from October 2004, he was head of investment banking of Andrew Garrett, Inc. From January 2000 until September 2004, he served as Executive Vice President of Investment Banking of Berry Shino Securities, Inc., an investment banking firm also located in New York City. From January 1999 until December 1999, he was an Executive Vice President of Solid Capital Markets, an investment-banking firm also located in New York City. From September 1997 to January 1999, he served as a Senior Managing Director of Interbank Capital Group, LLC, an investment banking firm also located in New York City. From April 1996 to September 1997, Mr. Gold was an Executive Vice President of LT Lawrence &amp; Co., and from March 1995 to April 1996, a Managing Director of Fechtor Detwiler &amp; Co., Inc., a representative of the underwriters for the Company’s initial public offering. Mr. Gold was a Managing Director of Furman Selz Incorporated from January 1992 until March 1995. From April 1990 until January 1992, Mr. Gold was a Managing Director of Bear Stearns and Co., Inc. (“Bear Stearns”). For approximately 20 years before he became affiliated with Bear Stearns, he held various positions with Drexel Burnham Lambert, Inc.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Hank Cohn, Director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Cohn has been a director since October 29, 2010. Hank Cohn is currently CEO of P1 Billing, LLC, a revenue cycle management services provider to ambulatory medical clinics. P1 Billing is a spinoff of PracticeOne Inc., (formerly PracticeXpert, Inc., an OTCBB traded company), an integrated PMS and EMR software and services company for physicians. Mr. Cohn served as President and Chief Executive Officer of PracticeOne from December 2009 until December 2009, at which time he sold the company to Francison Partners, one of the largest, global technology focused, private equity firms in Silicon Valley. Prior to that, Mr. Cohn worked with a number of public companies. A partial list of his past and present board memberships include: Analytical Surveys, Inc., Kaching, Inc., and International Food and Wine, Inc., currently Evolution Resources Inc. Mr. Cohn also served as the executive vice president of Galaxy Ventures, LLC a closely-held investment fund concentrating in the areas of bond trading and early stage technology investments, where he acted as portfolio manager for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Polinsky, Director</w:t>
      </w:r>
    </w:p>
    <w:p>
      <w:pPr>
        <w:spacing w:after="0" w:line="22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David A. Polinsky has been a director since July 24, 2019. Mr. Polinsky has served as Chief Financial Officer of Rafael Holdings, Inc. (NYSE: RFL) since December 2017. Mr. Polinsky co-founded Rafael Pharmaceuticals and served as its Vice President, General Counsel and Corporate Secretary from 2002 and as President, General Counsel and Secretary from 2016 through March 2018. He also served on Rafael Pharmaceutical’s Board from 2002 until 2014. Prior to joining Rafael Pharmaceuticals, from 1996 to 2002, he served as Vice President and General Counsel for a New York-based real estate focused investment and management company, Square Management Corp., leading the investment analysis in and management of residential, office, retail and development properties. Previously and in partnership with the Honorable Edward I. Koch, former Mayor of New York City, Mr. Polinsky founded in 1999 and served as CEO of a company that licensed and developed TheLaw.com as a leading consumer focused legal information site. Mr. Polinsky earned his Juris Doctorate from Fordham University School of Law in 1996 and his Bachelor of Arts from Yeshiva University in 1993. Mr. Polinsky also earned the CFA Institute’s Investment Foundations certificate.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Pappas, Director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James C. Pappas has been a director since January 30, 2020. Mr. Pappas has served as the Managing Member of JCP Investment Management, LLC (“JCP Management”), an investment firm, and the sole member of JCP Investment Holdings, LLC (“JCP Holdings”), since June 2009. Mr. Pappas has also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The Goldman Sachs Group, Inc. (NYSE:GS) (“Goldman Sachs”),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Schmulen, Director</w:t>
      </w:r>
    </w:p>
    <w:p>
      <w:pPr>
        <w:spacing w:after="0" w:line="229"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Mark Schmulen has been a director since January 30, 2020. Mr. Schmulen is a co-founder and has served as CEO of Chirp Systems, Inc., a venture-backed smart access solution for multifamily property owners, since October 2019. Mr. Schmulen has also served as the managing director of Jelly Capital, LLC, a private investment fund focused on early stage technology and real estate investments, since May 2015, and as an investment advisor representative for Forum Financial, LP, an independent investment advisor, since November 2016. Previously, he served as General Manager of Social Media for Constant Contact, Inc. (formerly NASDAQ:CTCT), a provider of digital marketing solutions, from May 2010 until May 2014. Prior to that, he was co-founder and served as CEO of Nutshell Mail, Inc., a social media marketing solution, from 2008 until its acquisition by Constant Contact, Inc. in 2010. Mr. Schmulen began his career as an investment banking analyst with JPMorgan Chase Bank. Currently, he serves on the board of directors for the Shlenker School, since August 2017 and is a Director of the HHF Foundation, benefiting early childhood education, since December 2014. Mr. Schmulen holds a B.S. from the University of Pennsylvania and an M.S. in Management from Stanford’s Graduate School of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Gramm, Director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Jefferson Gramm has been a director since September 10, 2021. Mr. Gramm is a co-founder, partner and portfolio manager at Bandera Partners LLC, a New York based investment fund founded in 2006. Prior to founding Bandera in 2006, he served as Managing Director of Arklow Capital, LLC, a hedge fund focused on distressed and value investments. Mr. Gramm has extensive board experience and currently serves as the Chairman of the Board of Tandy Leather Factory, Inc. and as a director of Rubicon Technology Inc. Mr. Gramm previously served on the Board of Directors of Ambassadors Group Inc., Morgan’s Foods Inc., and Peerless Systems Corp. He received an M.B.A. from Columbia University in 2003 and a B.A. in Philosophy from the University of Chicago in 1996.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Denver Smith, Director</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Denver Smith has been a director since March 13, 2023. Mr. Smith is the Co-Founder and a managing member of Carlson Ridge Capital, a hedge fund manager, which was founded in 2015. He is also the Co-CIO of the firm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Tang , CFO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Richard Tang has been CFO at IVFH since December 29, 2020. Mr. Tang, has more than 25 years of experience in senior leadership roles, working in media, e-commerce, CPG and food-based sectors, most recently as CFO for Van Leeuwen Ice Cream LLC, a nationwide manufacturer of ultra-premium dairy and vegan ice cream distributed and sold through 2,000 supermarket and independent chain doors nationwide and multi-state brick and mortar locations. Prior thereto, from 2017 to 2019, Mr. Tang was CFO at Nutraceutical Wellness, Inc., a global subscription-based CPG e-commerce and business-to-business wellness vitamin and supplements consumer business. Prior thereto, from 2012-2016, Tang was Senior Vice President, Corporate Development at Fareportal, the third largest Online Travel Agency in North America. Mr. Tang has also held senior financial roles at The Condé Nast Publications, Time Warner, and Walt Disney Corporation. Mr. Tang holds a Master of Business Administration from Boston University Graduate School of Management and a Bachelor of Science from Boston College.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of Directors</w:t>
      </w:r>
    </w:p>
    <w:p>
      <w:pPr>
        <w:spacing w:after="0" w:line="22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We believe that all of our directors are qualified for their positions and each brings a benefit to the board. Mr. Bennett, as an executive officer, is uniquely qualified to bring management’s perspective to the board’s deliberations. Mr. Gold, with his lengthy career working for broker/dealers, bring a “Wall Street” perspective and Mr. Schmulen, with his private equity experience, and Messrs. Cohn and Polinsky, with their prior history of being executives and directors of other companies, bring a well-rounded background and wealth of general business experience to our board. Mr. Pappas brings both his investment and corporate finance background and food industry experience to the board. Mr. Klepfish, as a former executive officer continues to bring his knowledge of the food industry as well as detailed knowledge of the Company to the board. Messrs. Gramm and Smith bring extensive experience in business strategy and capital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Board of Directors currently has an Audit Committee, a Compensation Committee, and a Nominating and Corporate Governance Committee. The members of the Compensation Committee and of the Nominating and Corporate Governance Committee are Messrs. Gold, Cohn, Pappas and Schmulen and the members of the Audit Committee are Messrs. Gold, Cohn, Gramm, Polinsky, and Schmulen with Mr. Cohn designated as the Audit Committee Financial Expert. All of the members of each committee have been determined by the Board of Directors to be independent.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Mr. Pappas’ appointment to the Board, as described in a Current Report on Form 8-K filed on January 30, 2020 (the “January 8-K”), the Company and Mr. Pappas entered into a two year Agreement dated as of January 28, 2020 (the “Pappas Agreement”) which, among other things, provided that (i) the Company (x) will support the continued directorships of the New Directors (as defined in the Pappas Agreement) at the next two annual meetings and (y) after 18 months will appoint another nominee of JCP (as defined in the Pappas Agreement”) to the Board and support such nominee at the next annual meeting, provided that such nominee shall be subject to the approval (which shall not be unreasonably withheld) of the Nominating and Corporate Governance Committee of the Board and the Board after exercising their good faith customary due diligence process and fiduciary duties; and (ii) JCP and the Company agreed to certain standstill provisions, as more fully described in the Pappas Agreement. As of the date hereof, the New Directors referred to in the Pappas Agreement are Messrs. Pappas and Schmulen.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November 28, 2022 the Company entered into a Board Observer Agreement with Denver J. Smith (the “Smith Agreement”). Mr. Smith is part of a Schedule 13D group (the “Group”) which holds approximately 8.3% of our outstanding common stock. The Group had threatened a proxy contest, and to avoid expense and disruption associated with a proxy contest the company has signed the Smith Agreement with the Group. The Smith Agreement provides, among other things, that for up to six (6) months, with certain minor limitations, Mr. Smith will have observer status at all meetings held by our Board of Directors as well as meetings held by the various Committees of our Board of Directors. In addition, the Smith Agreement provides for Mr. Smith to become a member of our Board of Directors on or before the six (6) month anniversary of the Smith Agreement subject to fulfillment of the Board’s fiduciary responsibilities. The Smith Agreement contains certain “standstill” provisions regarding proxy contests, Board membership and joining certain ownership groups. The Smith Agreement is conditional upon the Group maintaining certain minimum ownership of our common stock as well as imposing duties of confidentiality and securities law compliance. Effective March 13, 2023, our board determined to appoint Mr. Smith to our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adopted a Code of Ethics that applies to each of our employees, including our CEO, our principal financial officer, as well as members of our Board of Directors. A copy of such Code has been publicly filed with, and is available for free from, the Securities and Exchange Commission.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2022, Messrs. Klepfish and Wiernasz did not file one Form 4 in connection with the receipt of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2" w:name="page63"/>
    <w:bookmarkEnd w:id="62"/>
    <w:p>
      <w:pPr>
        <w:ind w:left="2"/>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2"/>
        <w:spacing w:after="0" w:line="311" w:lineRule="auto"/>
        <w:rPr>
          <w:sz w:val="20"/>
          <w:szCs w:val="20"/>
          <w:color w:val="auto"/>
        </w:rPr>
      </w:pPr>
      <w:r>
        <w:rPr>
          <w:rFonts w:ascii="Arial" w:cs="Arial" w:eastAsia="Arial" w:hAnsi="Arial"/>
          <w:sz w:val="16"/>
          <w:szCs w:val="16"/>
          <w:color w:val="auto"/>
        </w:rPr>
        <w:t>The following table sets forth information concerning the compensation for services rendered to us for the two years ended December 31, 2022, of our Chief Executive Officer, our principal financial officer and our highest compensated officer whose annual compensation exceeded $100,000 in the fiscal year ended December 31, 2022, if any. We refer to the Chief Executive Officer and these other officers as the named executive officers.</w:t>
      </w:r>
    </w:p>
    <w:p>
      <w:pPr>
        <w:spacing w:after="0" w:line="145"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SUMMARY COMPENSATION TABLE</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2"/>
              </w:rPr>
              <w:t>Nonqualified</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Non-Equity</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Deferred</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b w:val="1"/>
                <w:bCs w:val="1"/>
                <w:color w:val="auto"/>
              </w:rPr>
              <w:t>Name and</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Option</w:t>
            </w:r>
          </w:p>
        </w:tc>
        <w:tc>
          <w:tcPr>
            <w:tcW w:w="34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Incentive Plan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gridSpan w:val="3"/>
          </w:tcPr>
          <w:p>
            <w:pPr>
              <w:ind w:left="160"/>
              <w:spacing w:after="0"/>
              <w:rPr>
                <w:sz w:val="20"/>
                <w:szCs w:val="20"/>
                <w:color w:val="auto"/>
              </w:rPr>
            </w:pPr>
            <w:r>
              <w:rPr>
                <w:rFonts w:ascii="Arial" w:cs="Arial" w:eastAsia="Arial" w:hAnsi="Arial"/>
                <w:sz w:val="16"/>
                <w:szCs w:val="16"/>
                <w:b w:val="1"/>
                <w:bCs w:val="1"/>
                <w:color w:val="auto"/>
              </w:rPr>
              <w:t>All Other</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b w:val="1"/>
                <w:bCs w:val="1"/>
                <w:color w:val="auto"/>
              </w:rPr>
              <w:t>Principal</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rPr>
              <w:t>Salary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Bonus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Awards</w:t>
            </w:r>
          </w:p>
        </w:tc>
        <w:tc>
          <w:tcPr>
            <w:tcW w:w="34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Arial" w:cs="Arial" w:eastAsia="Arial" w:hAnsi="Arial"/>
                <w:sz w:val="16"/>
                <w:szCs w:val="16"/>
                <w:b w:val="1"/>
                <w:bCs w:val="1"/>
                <w:color w:val="auto"/>
              </w:rPr>
              <w:t>Compensation</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Earnings</w:t>
            </w:r>
          </w:p>
        </w:tc>
        <w:tc>
          <w:tcPr>
            <w:tcW w:w="1060" w:type="dxa"/>
            <w:vAlign w:val="bottom"/>
            <w:gridSpan w:val="3"/>
          </w:tcPr>
          <w:p>
            <w:pPr>
              <w:spacing w:after="0"/>
              <w:rPr>
                <w:sz w:val="20"/>
                <w:szCs w:val="20"/>
                <w:color w:val="auto"/>
              </w:rPr>
            </w:pPr>
            <w:r>
              <w:rPr>
                <w:rFonts w:ascii="Arial" w:cs="Arial" w:eastAsia="Arial" w:hAnsi="Arial"/>
                <w:sz w:val="16"/>
                <w:szCs w:val="16"/>
                <w:b w:val="1"/>
                <w:bCs w:val="1"/>
                <w:color w:val="auto"/>
                <w:w w:val="93"/>
              </w:rPr>
              <w:t>Compensation</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3"/>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c>
          <w:tcPr>
            <w:tcW w:w="80" w:type="dxa"/>
            <w:vAlign w:val="bottom"/>
          </w:tcPr>
          <w:p>
            <w:pPr>
              <w:spacing w:after="0"/>
              <w:rPr>
                <w:sz w:val="18"/>
                <w:szCs w:val="18"/>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w w:val="84"/>
              </w:rPr>
              <w:t>($</w:t>
            </w:r>
          </w:p>
        </w:tc>
        <w:tc>
          <w:tcPr>
            <w:tcW w:w="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8"/>
                <w:szCs w:val="18"/>
                <w:color w:val="auto"/>
              </w:rPr>
            </w:pPr>
          </w:p>
        </w:tc>
        <w:tc>
          <w:tcPr>
            <w:tcW w:w="54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w w:val="74"/>
              </w:rPr>
              <w:t>($</w:t>
            </w:r>
          </w:p>
        </w:tc>
        <w:tc>
          <w:tcPr>
            <w:tcW w:w="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74"/>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w w:val="84"/>
              </w:rPr>
              <w:t>($</w:t>
            </w:r>
          </w:p>
        </w:tc>
        <w:tc>
          <w:tcPr>
            <w:tcW w:w="4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r>
      <w:tr>
        <w:trPr>
          <w:trHeight w:val="199"/>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Sam Klepfish</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513,491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466,186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98,939</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1,078,616</w:t>
            </w:r>
          </w:p>
        </w:tc>
        <w:tc>
          <w:tcPr>
            <w:tcW w:w="80" w:type="dxa"/>
            <w:vAlign w:val="bottom"/>
            <w:shd w:val="clear" w:color="auto" w:fill="CCEEFF"/>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CEO (f)</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2021</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457,288</w:t>
            </w:r>
          </w:p>
        </w:tc>
        <w:tc>
          <w:tcPr>
            <w:tcW w:w="1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385,000</w:t>
            </w:r>
          </w:p>
        </w:tc>
        <w:tc>
          <w:tcPr>
            <w:tcW w:w="80" w:type="dxa"/>
            <w:vAlign w:val="bottom"/>
          </w:tcPr>
          <w:p>
            <w:pPr>
              <w:spacing w:after="0"/>
              <w:rPr>
                <w:sz w:val="17"/>
                <w:szCs w:val="17"/>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3,012</w:t>
            </w:r>
          </w:p>
        </w:tc>
        <w:tc>
          <w:tcPr>
            <w:tcW w:w="300" w:type="dxa"/>
            <w:vAlign w:val="bottom"/>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845,300</w:t>
            </w:r>
          </w:p>
        </w:tc>
        <w:tc>
          <w:tcPr>
            <w:tcW w:w="80" w:type="dxa"/>
            <w:vAlign w:val="bottom"/>
          </w:tcPr>
          <w:p>
            <w:pPr>
              <w:spacing w:after="0"/>
              <w:rPr>
                <w:sz w:val="17"/>
                <w:szCs w:val="17"/>
                <w:color w:val="auto"/>
              </w:rPr>
            </w:pPr>
          </w:p>
        </w:tc>
      </w:tr>
      <w:tr>
        <w:trPr>
          <w:trHeight w:val="203"/>
        </w:trPr>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Justin Wiernasz</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2022</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404,118</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17,116</w:t>
            </w:r>
          </w:p>
        </w:tc>
        <w:tc>
          <w:tcPr>
            <w:tcW w:w="340" w:type="dxa"/>
            <w:vAlign w:val="bottom"/>
          </w:tcPr>
          <w:p>
            <w:pPr>
              <w:ind w:left="60"/>
              <w:spacing w:after="0"/>
              <w:rPr>
                <w:sz w:val="20"/>
                <w:szCs w:val="20"/>
                <w:color w:val="auto"/>
              </w:rPr>
            </w:pPr>
            <w:r>
              <w:rPr>
                <w:rFonts w:ascii="Arial" w:cs="Arial" w:eastAsia="Arial" w:hAnsi="Arial"/>
                <w:sz w:val="16"/>
                <w:szCs w:val="16"/>
                <w:color w:val="auto"/>
              </w:rPr>
              <w:t>(a)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26,951</w:t>
            </w:r>
          </w:p>
        </w:tc>
        <w:tc>
          <w:tcPr>
            <w:tcW w:w="300" w:type="dxa"/>
            <w:vAlign w:val="bottom"/>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431,069</w:t>
            </w:r>
          </w:p>
        </w:tc>
        <w:tc>
          <w:tcPr>
            <w:tcW w:w="80" w:type="dxa"/>
            <w:vAlign w:val="bottom"/>
          </w:tcPr>
          <w:p>
            <w:pPr>
              <w:spacing w:after="0"/>
              <w:rPr>
                <w:sz w:val="17"/>
                <w:szCs w:val="17"/>
                <w:color w:val="auto"/>
              </w:rPr>
            </w:pPr>
          </w:p>
        </w:tc>
      </w:tr>
      <w:tr>
        <w:trPr>
          <w:trHeight w:val="19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Director of</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Strategic</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Acquisitions (g)</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(d) $</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17,116</w:t>
            </w: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23,655</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454,593</w:t>
            </w:r>
          </w:p>
        </w:tc>
        <w:tc>
          <w:tcPr>
            <w:tcW w:w="80" w:type="dxa"/>
            <w:vAlign w:val="bottom"/>
            <w:shd w:val="clear" w:color="auto" w:fill="CCEEFF"/>
          </w:tcPr>
          <w:p>
            <w:pPr>
              <w:spacing w:after="0"/>
              <w:rPr>
                <w:sz w:val="18"/>
                <w:szCs w:val="18"/>
                <w:color w:val="auto"/>
              </w:rPr>
            </w:pPr>
          </w:p>
        </w:tc>
      </w:tr>
      <w:tr>
        <w:trPr>
          <w:trHeight w:val="203"/>
        </w:trPr>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Richard Tang</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239,231</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(e)</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17,992</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264,257</w:t>
            </w:r>
          </w:p>
        </w:tc>
        <w:tc>
          <w:tcPr>
            <w:tcW w:w="80" w:type="dxa"/>
            <w:vAlign w:val="bottom"/>
            <w:shd w:val="clear" w:color="auto" w:fill="CCEEFF"/>
          </w:tcPr>
          <w:p>
            <w:pPr>
              <w:spacing w:after="0"/>
              <w:rPr>
                <w:sz w:val="17"/>
                <w:szCs w:val="17"/>
                <w:color w:val="auto"/>
              </w:rPr>
            </w:pPr>
          </w:p>
        </w:tc>
      </w:tr>
      <w:tr>
        <w:trPr>
          <w:trHeight w:val="193"/>
        </w:trPr>
        <w:tc>
          <w:tcPr>
            <w:tcW w:w="1320" w:type="dxa"/>
            <w:vAlign w:val="bottom"/>
          </w:tcPr>
          <w:p>
            <w:pPr>
              <w:spacing w:after="0"/>
              <w:rPr>
                <w:sz w:val="20"/>
                <w:szCs w:val="20"/>
                <w:color w:val="auto"/>
              </w:rPr>
            </w:pPr>
            <w:r>
              <w:rPr>
                <w:rFonts w:ascii="Arial" w:cs="Arial" w:eastAsia="Arial" w:hAnsi="Arial"/>
                <w:sz w:val="16"/>
                <w:szCs w:val="16"/>
                <w:color w:val="auto"/>
              </w:rPr>
              <w:t>Chief Financial</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6"/>
                <w:szCs w:val="16"/>
                <w:color w:val="auto"/>
              </w:rPr>
              <w:t>Officer</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2021</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199,231</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7,032</w:t>
            </w:r>
          </w:p>
        </w:tc>
        <w:tc>
          <w:tcPr>
            <w:tcW w:w="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(e)</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15,791</w:t>
            </w:r>
          </w:p>
        </w:tc>
        <w:tc>
          <w:tcPr>
            <w:tcW w:w="300" w:type="dxa"/>
            <w:vAlign w:val="bottom"/>
          </w:tcPr>
          <w:p>
            <w:pPr>
              <w:ind w:left="80"/>
              <w:spacing w:after="0"/>
              <w:rPr>
                <w:sz w:val="20"/>
                <w:szCs w:val="20"/>
                <w:color w:val="auto"/>
              </w:rPr>
            </w:pPr>
            <w:r>
              <w:rPr>
                <w:rFonts w:ascii="Arial" w:cs="Arial" w:eastAsia="Arial" w:hAnsi="Arial"/>
                <w:sz w:val="16"/>
                <w:szCs w:val="16"/>
                <w:color w:val="auto"/>
              </w:rPr>
              <w:t>(c)</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222,054</w:t>
            </w:r>
          </w:p>
        </w:tc>
        <w:tc>
          <w:tcPr>
            <w:tcW w:w="80" w:type="dxa"/>
            <w:vAlign w:val="bottom"/>
          </w:tcPr>
          <w:p>
            <w:pPr>
              <w:spacing w:after="0"/>
              <w:rPr>
                <w:sz w:val="18"/>
                <w:szCs w:val="18"/>
                <w:color w:val="auto"/>
              </w:rPr>
            </w:pPr>
          </w:p>
        </w:tc>
      </w:tr>
      <w:tr>
        <w:trPr>
          <w:trHeight w:val="206"/>
        </w:trPr>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1320" w:type="dxa"/>
            <w:vAlign w:val="bottom"/>
          </w:tcPr>
          <w:p>
            <w:pPr>
              <w:spacing w:after="0"/>
              <w:rPr>
                <w:sz w:val="20"/>
                <w:szCs w:val="20"/>
                <w:color w:val="auto"/>
              </w:rPr>
            </w:pPr>
            <w:r>
              <w:rPr>
                <w:rFonts w:ascii="Arial" w:cs="Arial" w:eastAsia="Arial" w:hAnsi="Arial"/>
                <w:sz w:val="16"/>
                <w:szCs w:val="16"/>
                <w:color w:val="auto"/>
              </w:rPr>
              <w:t>Norma Vila,</w:t>
            </w: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2022</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182,404</w:t>
            </w:r>
          </w:p>
        </w:tc>
        <w:tc>
          <w:tcPr>
            <w:tcW w:w="1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11,070</w:t>
            </w:r>
          </w:p>
        </w:tc>
        <w:tc>
          <w:tcPr>
            <w:tcW w:w="300" w:type="dxa"/>
            <w:vAlign w:val="bottom"/>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193,473</w:t>
            </w:r>
          </w:p>
        </w:tc>
        <w:tc>
          <w:tcPr>
            <w:tcW w:w="80" w:type="dxa"/>
            <w:vAlign w:val="bottom"/>
          </w:tcPr>
          <w:p>
            <w:pPr>
              <w:spacing w:after="0"/>
              <w:rPr>
                <w:sz w:val="17"/>
                <w:szCs w:val="17"/>
                <w:color w:val="auto"/>
              </w:rPr>
            </w:pPr>
          </w:p>
        </w:tc>
      </w:tr>
      <w:tr>
        <w:trPr>
          <w:trHeight w:val="193"/>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Principal</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w w:val="99"/>
              </w:rPr>
              <w:t>Accounting Officer</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2021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9,312</w:t>
            </w:r>
          </w:p>
        </w:tc>
        <w:tc>
          <w:tcPr>
            <w:tcW w:w="3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42" w:hanging="242"/>
        <w:spacing w:after="0"/>
        <w:tabs>
          <w:tab w:leader="none" w:pos="2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the portion of restricted stock awards which were recognized as a period cost during the year for services as an executive officer.</w:t>
      </w:r>
    </w:p>
    <w:p>
      <w:pPr>
        <w:spacing w:after="0" w:line="34" w:lineRule="exact"/>
        <w:rPr>
          <w:rFonts w:ascii="Arial" w:cs="Arial" w:eastAsia="Arial" w:hAnsi="Arial"/>
          <w:sz w:val="17"/>
          <w:szCs w:val="17"/>
          <w:color w:val="auto"/>
        </w:rPr>
      </w:pPr>
    </w:p>
    <w:p>
      <w:pPr>
        <w:ind w:left="2" w:hanging="2"/>
        <w:spacing w:after="0" w:line="265" w:lineRule="auto"/>
        <w:tabs>
          <w:tab w:leader="none" w:pos="2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cash payments for health care benefits in the amount of $3,525 and restricted stock awards in the amount of $95,414 recognized as a period cost during the year for services as an executive officer and utilized to pay withholding taxes on behalf of Mr. Klepfish.</w:t>
      </w:r>
    </w:p>
    <w:p>
      <w:pPr>
        <w:ind w:left="242" w:hanging="242"/>
        <w:spacing w:after="0"/>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cash payments for health care benefits.</w:t>
      </w:r>
    </w:p>
    <w:p>
      <w:pPr>
        <w:spacing w:after="0" w:line="9" w:lineRule="exact"/>
        <w:rPr>
          <w:rFonts w:ascii="Arial" w:cs="Arial" w:eastAsia="Arial" w:hAnsi="Arial"/>
          <w:sz w:val="18"/>
          <w:szCs w:val="18"/>
          <w:color w:val="auto"/>
        </w:rPr>
      </w:pPr>
    </w:p>
    <w:p>
      <w:pPr>
        <w:ind w:left="262" w:hanging="262"/>
        <w:spacing w:after="0"/>
        <w:tabs>
          <w:tab w:leader="none" w:pos="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a cash bonus paid during the year for services performed in the previous year.</w:t>
      </w:r>
    </w:p>
    <w:p>
      <w:pPr>
        <w:spacing w:after="0" w:line="9" w:lineRule="exact"/>
        <w:rPr>
          <w:rFonts w:ascii="Arial" w:cs="Arial" w:eastAsia="Arial" w:hAnsi="Arial"/>
          <w:sz w:val="18"/>
          <w:szCs w:val="18"/>
          <w:color w:val="auto"/>
        </w:rPr>
      </w:pPr>
    </w:p>
    <w:p>
      <w:pPr>
        <w:ind w:left="242" w:hanging="242"/>
        <w:spacing w:after="0"/>
        <w:tabs>
          <w:tab w:leader="none" w:pos="2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option awards which were recognized as a period cost during the year for services as an executive officer.</w:t>
      </w:r>
    </w:p>
    <w:p>
      <w:pPr>
        <w:spacing w:after="0" w:line="9" w:lineRule="exact"/>
        <w:rPr>
          <w:rFonts w:ascii="Arial" w:cs="Arial" w:eastAsia="Arial" w:hAnsi="Arial"/>
          <w:sz w:val="18"/>
          <w:szCs w:val="18"/>
          <w:color w:val="auto"/>
        </w:rPr>
      </w:pPr>
    </w:p>
    <w:p>
      <w:pPr>
        <w:ind w:left="222" w:hanging="222"/>
        <w:spacing w:after="0"/>
        <w:tabs>
          <w:tab w:leader="none" w:pos="2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Klepfish resigned from his position as Chief Executive Officer on February 28, 2023.</w:t>
      </w:r>
    </w:p>
    <w:p>
      <w:pPr>
        <w:spacing w:after="0" w:line="9" w:lineRule="exact"/>
        <w:rPr>
          <w:rFonts w:ascii="Arial" w:cs="Arial" w:eastAsia="Arial" w:hAnsi="Arial"/>
          <w:sz w:val="18"/>
          <w:szCs w:val="18"/>
          <w:color w:val="auto"/>
        </w:rPr>
      </w:pPr>
    </w:p>
    <w:p>
      <w:pPr>
        <w:ind w:left="262" w:hanging="262"/>
        <w:spacing w:after="0"/>
        <w:tabs>
          <w:tab w:leader="none" w:pos="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Wiernasz resigned from his position as Director of Strategic Acquisitions on March 1, 2023.</w:t>
      </w:r>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5" w:right="479" w:bottom="1440" w:gutter="0" w:footer="0" w:header="0"/>
        </w:sectPr>
      </w:pPr>
    </w:p>
    <w:bookmarkStart w:id="63" w:name="page64"/>
    <w:bookmarkEnd w:id="63"/>
    <w:p>
      <w:pPr>
        <w:ind w:left="2"/>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Outstanding Equity Awards at Fiscal Year-End as of December 31, 2022</w:t>
      </w:r>
    </w:p>
    <w:p>
      <w:pPr>
        <w:spacing w:after="0" w:line="230" w:lineRule="exact"/>
        <w:rPr>
          <w:sz w:val="20"/>
          <w:szCs w:val="20"/>
          <w:color w:val="auto"/>
        </w:rPr>
      </w:pPr>
    </w:p>
    <w:tbl>
      <w:tblPr>
        <w:tblLayout w:type="fixed"/>
        <w:tblInd w:w="2" w:type="dxa"/>
        <w:tblCellMar>
          <w:top w:w="0" w:type="dxa"/>
          <w:left w:w="0" w:type="dxa"/>
          <w:bottom w:w="0" w:type="dxa"/>
          <w:right w:w="0" w:type="dxa"/>
        </w:tblCellMar>
      </w:tblPr>
      <w:tr>
        <w:trPr>
          <w:trHeight w:val="210"/>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920"/>
              <w:spacing w:after="0"/>
              <w:rPr>
                <w:sz w:val="20"/>
                <w:szCs w:val="20"/>
                <w:color w:val="auto"/>
              </w:rPr>
            </w:pPr>
            <w:r>
              <w:rPr>
                <w:rFonts w:ascii="Arial" w:cs="Arial" w:eastAsia="Arial" w:hAnsi="Arial"/>
                <w:sz w:val="16"/>
                <w:szCs w:val="16"/>
                <w:b w:val="1"/>
                <w:bCs w:val="1"/>
                <w:color w:val="auto"/>
              </w:rPr>
              <w:t>Option Awards</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b w:val="1"/>
                <w:bCs w:val="1"/>
                <w:color w:val="auto"/>
              </w:rPr>
              <w:t>Stock Awards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6"/>
                <w:szCs w:val="16"/>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Incentive</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Equity</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Plan</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Incentive</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Awards:</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Plan</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Market or</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Equity</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Awards: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Payout</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Incentive</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Value of</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Plan</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Market</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Unearned</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Awards: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Number of</w:t>
            </w:r>
          </w:p>
        </w:tc>
        <w:tc>
          <w:tcPr>
            <w:tcW w:w="80" w:type="dxa"/>
            <w:vAlign w:val="bottom"/>
          </w:tcPr>
          <w:p>
            <w:pPr>
              <w:spacing w:after="0"/>
              <w:rPr>
                <w:sz w:val="17"/>
                <w:szCs w:val="17"/>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Value of</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Number of</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Number of</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Shares or</w:t>
            </w:r>
          </w:p>
        </w:tc>
        <w:tc>
          <w:tcPr>
            <w:tcW w:w="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Shares or</w:t>
            </w: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Units or</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Units or</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Securities</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Securities</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Securities</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Units of</w:t>
            </w:r>
          </w:p>
        </w:tc>
        <w:tc>
          <w:tcPr>
            <w:tcW w:w="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Units of</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Other</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Underlying</w:t>
            </w: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Underlying</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Underlying</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7"/>
              </w:rPr>
              <w:t>Stock</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Rights</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Rights</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Unexercised</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Unexercised</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Unexercised</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That Have</w:t>
            </w:r>
          </w:p>
        </w:tc>
        <w:tc>
          <w:tcPr>
            <w:tcW w:w="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That Have</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That Have</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That Have</w:t>
            </w: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Options (#)</w:t>
            </w: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Options(#)</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Unearned</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Exercise</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Expiration</w:t>
            </w: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Not Vested</w:t>
            </w:r>
          </w:p>
        </w:tc>
        <w:tc>
          <w:tcPr>
            <w:tcW w:w="80" w:type="dxa"/>
            <w:vAlign w:val="bottom"/>
          </w:tcPr>
          <w:p>
            <w:pPr>
              <w:spacing w:after="0"/>
              <w:rPr>
                <w:sz w:val="17"/>
                <w:szCs w:val="17"/>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Not</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Not Vested</w:t>
            </w:r>
          </w:p>
        </w:tc>
        <w:tc>
          <w:tcPr>
            <w:tcW w:w="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Not Vested</w:t>
            </w:r>
          </w:p>
        </w:tc>
      </w:tr>
      <w:tr>
        <w:trPr>
          <w:trHeight w:val="213"/>
        </w:trPr>
        <w:tc>
          <w:tcPr>
            <w:tcW w:w="152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Exercisable</w:t>
            </w: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Unexercisable</w:t>
            </w: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Options(#)</w:t>
            </w: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 xml:space="preserve">Vested </w:t>
            </w: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199"/>
        </w:trPr>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Sam Klepfish</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9"/>
              </w:rPr>
              <w:t>300,000  (a)</w:t>
            </w:r>
          </w:p>
        </w:tc>
        <w:tc>
          <w:tcPr>
            <w:tcW w:w="124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63,420  (b)</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jc w:val="both"/>
        <w:ind w:left="2" w:hanging="2"/>
        <w:spacing w:after="0" w:line="263" w:lineRule="auto"/>
        <w:tabs>
          <w:tab w:leader="none" w:pos="2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awards vest according to the following schedule: An additional 125,000 restricted stock awards will vest contingent upon the attainment of a stock price of $2.00 per share for 20 consecutive trading days, and an additional 175,000 restricted stock awards will vest contingent upon the attainment of a stock price of $3.00 per share for 20 consecutive trading days.</w:t>
      </w:r>
    </w:p>
    <w:p>
      <w:pPr>
        <w:spacing w:after="0" w:line="183" w:lineRule="exact"/>
        <w:rPr>
          <w:rFonts w:ascii="Arial" w:cs="Arial" w:eastAsia="Arial" w:hAnsi="Arial"/>
          <w:sz w:val="18"/>
          <w:szCs w:val="18"/>
          <w:color w:val="auto"/>
        </w:rPr>
      </w:pPr>
    </w:p>
    <w:p>
      <w:pPr>
        <w:ind w:left="2" w:right="120" w:hanging="2"/>
        <w:spacing w:after="0" w:line="277" w:lineRule="auto"/>
        <w:tabs>
          <w:tab w:leader="none" w:pos="2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are calculated by multiplying the number of shares shown in the table by $ 0.21 per share, which is the closing price of common stock on December 30, 2022 (the last trading day of the 2022 fiscal year).</w:t>
      </w:r>
    </w:p>
    <w:p>
      <w:pPr>
        <w:spacing w:after="0" w:line="166" w:lineRule="exact"/>
        <w:rPr>
          <w:sz w:val="20"/>
          <w:szCs w:val="20"/>
          <w:color w:val="auto"/>
        </w:rPr>
      </w:pPr>
    </w:p>
    <w:tbl>
      <w:tblPr>
        <w:tblLayout w:type="fixed"/>
        <w:tblInd w:w="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w w:val="98"/>
              </w:rPr>
              <w:t>Director Compensation</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Nonqualified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Earned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Non-Equity</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or Paid</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Incentive Plan</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in Cash</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Compensation</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0" w:type="dxa"/>
            <w:vAlign w:val="bottom"/>
          </w:tcPr>
          <w:p>
            <w:pPr>
              <w:spacing w:after="0"/>
              <w:rPr>
                <w:sz w:val="20"/>
                <w:szCs w:val="20"/>
                <w:color w:val="auto"/>
              </w:rPr>
            </w:pPr>
          </w:p>
        </w:tc>
        <w:tc>
          <w:tcPr>
            <w:tcW w:w="24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Joel Gold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Sam Klepfish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Hank Cohn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Justin Wiernasz (b)</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David Polinsky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James C. Pappas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Mark Schmulen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Jefferson Gramm</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1,704</w:t>
            </w:r>
          </w:p>
        </w:tc>
        <w:tc>
          <w:tcPr>
            <w:tcW w:w="360" w:type="dxa"/>
            <w:vAlign w:val="bottom"/>
          </w:tcPr>
          <w:p>
            <w:pPr>
              <w:ind w:left="100"/>
              <w:spacing w:after="0"/>
              <w:rPr>
                <w:sz w:val="20"/>
                <w:szCs w:val="20"/>
                <w:color w:val="auto"/>
              </w:rPr>
            </w:pPr>
            <w:r>
              <w:rPr>
                <w:rFonts w:ascii="Arial" w:cs="Arial" w:eastAsia="Arial" w:hAnsi="Arial"/>
                <w:sz w:val="18"/>
                <w:szCs w:val="18"/>
                <w:color w:val="auto"/>
              </w:rPr>
              <w:t>(c)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2" w:hanging="2"/>
        <w:spacing w:after="0" w:line="263" w:lineRule="auto"/>
        <w:tabs>
          <w:tab w:leader="none" w:pos="2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 2022 for 90,634 shares of the Company’s common stock with a fair value of $30,000 granted on January 1, 2021 and vesting over a three-year period, and 64,240 shares of the Company’s common stock with a fair value of $30,000 granted on January 1, 2020 and vesting over a three-year period.</w:t>
      </w:r>
    </w:p>
    <w:p>
      <w:pPr>
        <w:spacing w:after="0" w:line="183" w:lineRule="exact"/>
        <w:rPr>
          <w:rFonts w:ascii="Arial" w:cs="Arial" w:eastAsia="Arial" w:hAnsi="Arial"/>
          <w:sz w:val="18"/>
          <w:szCs w:val="18"/>
          <w:color w:val="auto"/>
        </w:rPr>
      </w:pPr>
    </w:p>
    <w:p>
      <w:pPr>
        <w:ind w:left="262" w:hanging="262"/>
        <w:spacing w:after="0"/>
        <w:tabs>
          <w:tab w:leader="none" w:pos="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Wiernasz resigned his position as a director of the Company on March 1, 2023.</w:t>
      </w:r>
    </w:p>
    <w:p>
      <w:pPr>
        <w:spacing w:after="0" w:line="225" w:lineRule="exact"/>
        <w:rPr>
          <w:rFonts w:ascii="Arial" w:cs="Arial" w:eastAsia="Arial" w:hAnsi="Arial"/>
          <w:sz w:val="18"/>
          <w:szCs w:val="18"/>
          <w:color w:val="auto"/>
        </w:rPr>
      </w:pPr>
    </w:p>
    <w:p>
      <w:pPr>
        <w:ind w:left="2" w:hanging="2"/>
        <w:spacing w:after="0" w:line="277" w:lineRule="auto"/>
        <w:tabs>
          <w:tab w:leader="none" w:pos="2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amount charged to operations during the year ended December 31, 2021 for one-year options to purchase 50,000 shares of the Company’s common stock at a price of $1.20 per share, vesting over one year.</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left="2"/>
        <w:spacing w:after="0" w:line="263" w:lineRule="auto"/>
        <w:rPr>
          <w:sz w:val="20"/>
          <w:szCs w:val="20"/>
          <w:color w:val="auto"/>
        </w:rPr>
      </w:pPr>
      <w:r>
        <w:rPr>
          <w:rFonts w:ascii="Arial" w:cs="Arial" w:eastAsia="Arial" w:hAnsi="Arial"/>
          <w:sz w:val="18"/>
          <w:szCs w:val="18"/>
          <w:color w:val="auto"/>
        </w:rPr>
        <w:t>Our subsidiary, Food Innovations, has employment agreements with certain officers and certain employees. The employment agreements provide for salaries and benefits, including stock grants and extend up to three years. In addition to salary and benefit provisions, the agreements include defined commitments should the employer terminate the employee with or without cause.</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5"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BILL BENNETT</w:t>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On February 3, 2023, we entered into an Executive Employment Agreement with Robert William Bennett (the “RWB Agreement”). The RWB Agreement provides, among other things, for Mr. Bennett to become our Company’s Chief Executive Officer; Mr. Bennett, and one designee, to be nominated to the Company’s Board of Directors during his tenure as CEO; employment at-will with an initial term of employment from February 28, 2023 through December 31, 2025 with 12 months of Base Salary as severance payments if terminated without cause or resignation with Good Reason; an annual Base Salary of $375,000 with at least 3% annual increases with additional annual increases of 20% if certain cash flow metrics are met; a $50,000 signing bonus; an additional Bonus, triggered based on certain conditions being met, of up to $300,000 payable over time; annual incentive bonus equal to at least 50% of Base Salary; reimbursement of legal fees up to $10,000; and participation in the Company’s benefit plans. Mr. Bennett is also subject to the Company’s clawback policies and certain restrictive covenants including confidentiality, non-compete and non-solicitation.</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Mr. Bennett is eligible for stock grants based upon the market price of the Company’s common stock meeting certain price points at various 60-day volume weighted prices, as described in the chart below:</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Stock Threshold Target</w:t>
            </w:r>
          </w:p>
        </w:tc>
        <w:tc>
          <w:tcPr>
            <w:tcW w:w="8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Number of Shares Granted</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$0.60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2.00%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943,531</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$0.80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1.50%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707,649</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1.00%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471,766</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0.75%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353,824</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$1.40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0.75%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353,824</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0.50%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235,883</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$1.80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0.50%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235,883</w:t>
            </w:r>
          </w:p>
        </w:tc>
      </w:tr>
      <w:tr>
        <w:trPr>
          <w:trHeight w:val="37"/>
        </w:trPr>
        <w:tc>
          <w:tcPr>
            <w:tcW w:w="2440" w:type="dxa"/>
            <w:vAlign w:val="bottom"/>
            <w:tcBorders>
              <w:left w:val="single" w:sz="8" w:color="auto"/>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r>
      <w:tr>
        <w:trPr>
          <w:trHeight w:val="225"/>
        </w:trPr>
        <w:tc>
          <w:tcPr>
            <w:tcW w:w="2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$2.00</w:t>
            </w: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The lower of (x) the number of Shares (rounded down to the nearest whole Share) representing 0.50% of the total</w:t>
            </w:r>
          </w:p>
        </w:tc>
      </w:tr>
      <w:tr>
        <w:trPr>
          <w:trHeight w:val="230"/>
        </w:trPr>
        <w:tc>
          <w:tcPr>
            <w:tcW w:w="2440" w:type="dxa"/>
            <w:vAlign w:val="bottom"/>
            <w:tcBorders>
              <w:left w:val="single" w:sz="8" w:color="auto"/>
              <w:right w:val="single" w:sz="8" w:color="auto"/>
            </w:tcBorders>
          </w:tcPr>
          <w:p>
            <w:pPr>
              <w:spacing w:after="0"/>
              <w:rPr>
                <w:sz w:val="20"/>
                <w:szCs w:val="20"/>
                <w:color w:val="auto"/>
              </w:rPr>
            </w:pPr>
          </w:p>
        </w:tc>
        <w:tc>
          <w:tcPr>
            <w:tcW w:w="8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number of issued and outstanding Shares on the Grant Date of this Value Achievement Award or (y) 235,883</w:t>
            </w:r>
          </w:p>
        </w:tc>
      </w:tr>
      <w:tr>
        <w:trPr>
          <w:trHeight w:val="24"/>
        </w:trPr>
        <w:tc>
          <w:tcPr>
            <w:tcW w:w="2440" w:type="dxa"/>
            <w:vAlign w:val="bottom"/>
            <w:tcBorders>
              <w:left w:val="single" w:sz="8" w:color="auto"/>
              <w:bottom w:val="single" w:sz="8" w:color="auto"/>
              <w:right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r>
      <w:tr>
        <w:trPr>
          <w:trHeight w:val="429"/>
        </w:trPr>
        <w:tc>
          <w:tcPr>
            <w:tcW w:w="2440" w:type="dxa"/>
            <w:vAlign w:val="bottom"/>
          </w:tcPr>
          <w:p>
            <w:pPr>
              <w:spacing w:after="0"/>
              <w:rPr>
                <w:sz w:val="20"/>
                <w:szCs w:val="20"/>
                <w:color w:val="auto"/>
              </w:rPr>
            </w:pPr>
            <w:r>
              <w:rPr>
                <w:rFonts w:ascii="Arial" w:cs="Arial" w:eastAsia="Arial" w:hAnsi="Arial"/>
                <w:sz w:val="18"/>
                <w:szCs w:val="18"/>
                <w:color w:val="auto"/>
              </w:rPr>
              <w:t>SAM KLEPFISH</w:t>
            </w:r>
          </w:p>
        </w:tc>
        <w:tc>
          <w:tcPr>
            <w:tcW w:w="85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March 29, 2017, we entered into an employment agreement with Mr. Sam Klepfish, our CEO. This agreement, which ran through December 31, 2019, maintained the then-current base salary and provided for all bonuses and salary increases to be approved by the compensation committee.</w:t>
      </w:r>
    </w:p>
    <w:p>
      <w:pPr>
        <w:spacing w:after="0" w:line="12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January 28, 2019, upon approval by the Company’s compensation committee comprised solely of independent directors, we entered into a new employment agreement with Mr. Sam Klepfish having an effective date of January 28, 2019 and terminating three years thereafter with up to two two-year extension periods. The first two year extension period was exercised in 2021. The agreement provides a base salary in the amount of $300,000 with annual increases of at least $25,000 and annual stock compensation of 50% of the base salary. The agreement also provides for additional bonuses of up to 25% of base compensation, based on increases in EBITDA (as defined in the agreement) and increases in our stock price as reflected in our market capitalization and other perquisites and benefits as detailed therein. The agreement also contains change of control, confidentiality, non-compete and non-solicitation provisions.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Klepfish resigned his position as CEO on February 28,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JUSTIN WIERNASZ</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March 29, 2017, we entered into an employment agreement with Mr. Wiernasz, our Director of Strategic Acquisitions. This agreement, which ran through December 31, 2019, maintained the current base salary and provided for all bonuses and salary increases to be approved by the compensation committee.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January 28, 2019, upon approval by the Company’s compensation committee, we entered into a new employment agreement with Mr. Justin Wiernasz, having an effective date of January 28, 2019 and terminating three years thereafter with up to two extension periods; one for two years and one for one year. The agreement provides a base salary in the amount of $326,000 with annual increases of at least 5% and annual stock compensation of 5% of the base salary. This agreement was further modified to a base salary of $350,000 in 2019. The agreement also provides for additional bonuses of up to 35% of base compensation and based upon increases in our stock price as reflected in our market capitalization and other perquisites and benefits as detailed therein. The agreement also contains change of control, confidentiality, non-compete and non-solicitation provisions.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Mr. Wiernasz resigned his position as Director of Strategic Acquisitions on March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December 29, 2020, we entered into a letter agreement with Mr. Richard Tang to become our CFO. The agreement provides a base salary in the amount of $200,000 for 2021 and base compensation for 2022 to target an increase of 20%-25% with a targeted 15-20% bonus structure based on milestones to be determined by the Company’s Board of Directors in its sole discretion. For 2021, Mr. Tang will have the opportunity to earn a performance stock bonus of $40,000 and a cash bonus of $25,000 based upon satisfying certain specified milestones and an additional bonus equal to up to 10% of combined base salary and bonus based upon criteria to be determined by the Company’s Board of Directors. The agreement also provided for a one-time stock option grant in the amount of 100,000 shares (half of which is exercisable $0.60 and half at $1.00), which vests in two years. Similar to our other employees, Mr. Tang’s employment is at-will and he is subject to the Company’s rules, regulations and policies, including specifically and without limitation, confidentiality and provisions.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Interlocks and Insider Participation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66" w:name="page67"/>
    <w:bookmarkEnd w:id="66"/>
    <w:p>
      <w:pPr>
        <w:ind w:left="2"/>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2"/>
        <w:spacing w:after="0" w:line="291" w:lineRule="auto"/>
        <w:rPr>
          <w:sz w:val="20"/>
          <w:szCs w:val="20"/>
          <w:color w:val="auto"/>
        </w:rPr>
      </w:pPr>
      <w:r>
        <w:rPr>
          <w:rFonts w:ascii="Arial" w:cs="Arial" w:eastAsia="Arial" w:hAnsi="Arial"/>
          <w:sz w:val="16"/>
          <w:szCs w:val="16"/>
          <w:color w:val="auto"/>
        </w:rPr>
        <w:t>The following table sets forth certain information as of March 3, 2023, with respect to the beneficial ownership of our common stock by (1) each person known by us to own beneficially more than 5% of the outstanding shares of our common stock, (2) each of our directors, (3) each Named Officer, and</w:t>
      </w:r>
    </w:p>
    <w:p>
      <w:pPr>
        <w:jc w:val="both"/>
        <w:ind w:left="2" w:right="20" w:hanging="2"/>
        <w:spacing w:after="0" w:line="253" w:lineRule="auto"/>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our directors and executive officers as a group. Unless otherwise stated, each person listed below uses the Company’s address. Pursuant to SEC rules, includes shares that the person has the right to receive within 60 days from March 3, 2023. The inclusion herein of any shares deemed beneficially owned does not constitute an admission of beneficial ownership of such shares. Except as otherwise indicated, the beneficial owner exercises sole voting power and sole investment power with respect to such shares.</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Number of Shares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Name and Address of Beneficial Owners</w:t>
            </w:r>
          </w:p>
        </w:tc>
        <w:tc>
          <w:tcPr>
            <w:tcW w:w="66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Percent of Class</w:t>
            </w:r>
          </w:p>
        </w:tc>
      </w:tr>
      <w:tr>
        <w:trPr>
          <w:trHeight w:val="209"/>
        </w:trPr>
        <w:tc>
          <w:tcPr>
            <w:tcW w:w="71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James C. Pappas (Director)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8,247,917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Hank Cohn (Director)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4,439,125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Jefferson Gramm (Director)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Joel Gold (Director)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1,119,263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David Polinsky (Director)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699,650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Mark Schmulen (Director)</w:t>
            </w:r>
          </w:p>
        </w:tc>
        <w:tc>
          <w:tcPr>
            <w:tcW w:w="6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Sam Klepfish (Director)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6,050,907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Bill Bennett (Officer, Director)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225,440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Denver J. Smith (Director)</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3,827,871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Richard Tang (Officer)</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Inlight Wealth Management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3,747,057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w w:val="94"/>
              </w:rPr>
              <w:t>A group consisting of Denver J. Smith, CRC Founders Fund, LP, Donald E. Smith, Richard G.</w:t>
            </w: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Hill, Samuel N. Jurrens, 73114 Investments, LLC, Youth Properties, LLC, and Paratus Capital,</w:t>
            </w: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LLC</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(11)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3,917,335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All officers and directors as a whole (10 persons)</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28,245,193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w:t>
            </w:r>
          </w:p>
        </w:tc>
      </w:tr>
    </w:tbl>
    <w:p>
      <w:pPr>
        <w:spacing w:after="0" w:line="206" w:lineRule="exact"/>
        <w:rPr>
          <w:sz w:val="20"/>
          <w:szCs w:val="20"/>
          <w:color w:val="auto"/>
        </w:rPr>
      </w:pPr>
    </w:p>
    <w:p>
      <w:pPr>
        <w:jc w:val="both"/>
        <w:ind w:left="682" w:right="20" w:hanging="677"/>
        <w:spacing w:after="0" w:line="282" w:lineRule="auto"/>
        <w:tabs>
          <w:tab w:leader="none" w:pos="6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8,247,917 shares held by JCP Investment Partnership, LP (“JCP Partnership”) and 113,492 shares held in an account managed by JCP Investment Management, LLC (“JCP Management”). JCP Investment Partners, LP (“JCP Partners”) is the general partner of JCP Partnership and JCP Investment Holdings, LLC (“JCP Holdings”) is the general partner of JCP Partners. Mr. Pappas is the managing member of JCP Management and sole member of JCP Holdings. The address of Mr. Pappas, JCP Partnership and JCP Management, LLC is 1177 West Loop South, Suite 1320, Houston, TX 77027. Information gathered from a Form 4 filed with the Securities and Exchange Commission on February 15, 2023.</w:t>
      </w:r>
    </w:p>
    <w:p>
      <w:pPr>
        <w:spacing w:after="0" w:line="3" w:lineRule="exact"/>
        <w:rPr>
          <w:rFonts w:ascii="Arial" w:cs="Arial" w:eastAsia="Arial" w:hAnsi="Arial"/>
          <w:sz w:val="15"/>
          <w:szCs w:val="15"/>
          <w:color w:val="auto"/>
        </w:rPr>
      </w:pPr>
    </w:p>
    <w:p>
      <w:pPr>
        <w:jc w:val="both"/>
        <w:ind w:left="682" w:right="2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3,125,000 shares which are held indirectly through SV Asset Management LLC. Includes options to purchase 450,000 shares of common stock. Does not include an additional 221,694 earned shares which are accrued but not issued. Includes information gathered from a Form 4 filed with the Securities and Exchange Commission on August 31, 2022.</w:t>
      </w:r>
    </w:p>
    <w:p>
      <w:pPr>
        <w:jc w:val="both"/>
        <w:ind w:left="682" w:right="2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Bandera Master Fund L.P., a Cayman Islands exempted limited partnership (“Bandera Master Fund”), is the record holder of 3,125,000 shares of Common Stock. Bandera Partners LLC, a Delaware limited liability company (“Bandera Partners”), is the investment manager of Bandera Master Fund. Mr. Gramm is Managing Partner, Managing Director and Portfolio Manager of Bandera Partners. Includes options to purchase 50,000 shares of common stock. Information gathered from a Form 4 filed with the Securities and Exchange Commission on February 10, 2023.</w:t>
      </w:r>
    </w:p>
    <w:p>
      <w:pPr>
        <w:ind w:left="682" w:right="10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options to purchase 450,000 shares of common stock. Also includes 18,400 shares of common stock held by Mr. Gold’s spouse. Does not include an additional 221,694 earned shares which are accrued but not issued.</w:t>
      </w:r>
    </w:p>
    <w:p>
      <w:pPr>
        <w:ind w:left="682" w:hanging="677"/>
        <w:spacing w:after="0"/>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Shares held by PetBox LLC, an entity affiliated with, and controlled by, Mr. Polinsky.</w:t>
      </w:r>
    </w:p>
    <w:p>
      <w:pPr>
        <w:spacing w:after="0" w:line="18" w:lineRule="exact"/>
        <w:rPr>
          <w:rFonts w:ascii="Arial" w:cs="Arial" w:eastAsia="Arial" w:hAnsi="Arial"/>
          <w:sz w:val="16"/>
          <w:szCs w:val="16"/>
          <w:color w:val="auto"/>
        </w:rPr>
      </w:pPr>
    </w:p>
    <w:p>
      <w:pPr>
        <w:ind w:left="682" w:right="20" w:hanging="677"/>
        <w:spacing w:after="0" w:line="301" w:lineRule="auto"/>
        <w:tabs>
          <w:tab w:leader="none" w:pos="68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options to purchase 450,000 shares of common stock exercisable at May 1, 2022. Also, includes 16,250 shares of common stock owned by Mr. Klepfish's spouse, ownership of which is disclaimed by Mr. Klepfish. Does not include an additional 861,458 earned shares which are accrued but not issued.</w:t>
      </w:r>
    </w:p>
    <w:p>
      <w:pPr>
        <w:spacing w:after="0" w:line="1" w:lineRule="exact"/>
        <w:rPr>
          <w:rFonts w:ascii="Arial" w:cs="Arial" w:eastAsia="Arial" w:hAnsi="Arial"/>
          <w:sz w:val="14"/>
          <w:szCs w:val="14"/>
          <w:color w:val="auto"/>
        </w:rPr>
      </w:pPr>
    </w:p>
    <w:p>
      <w:pPr>
        <w:ind w:left="682" w:hanging="677"/>
        <w:spacing w:after="0"/>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104,910 shares of common stock owned by Mr. Bennett's spouse, ownership of which is disclaimed by Mr. Bennett.</w:t>
      </w:r>
    </w:p>
    <w:p>
      <w:pPr>
        <w:spacing w:after="0" w:line="18" w:lineRule="exact"/>
        <w:rPr>
          <w:rFonts w:ascii="Arial" w:cs="Arial" w:eastAsia="Arial" w:hAnsi="Arial"/>
          <w:sz w:val="16"/>
          <w:szCs w:val="16"/>
          <w:color w:val="auto"/>
        </w:rPr>
      </w:pPr>
    </w:p>
    <w:p>
      <w:pPr>
        <w:ind w:left="682" w:right="2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674,671 shares owned directly by Mr. Smith and 3,153,400 shares owned by various funds and for which he provides investment advice. Does not include the shares described in footnote 10.</w:t>
      </w:r>
    </w:p>
    <w:p>
      <w:pPr>
        <w:ind w:left="682" w:hanging="677"/>
        <w:spacing w:after="0"/>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options to purchase 100,000 shares of common stock.</w:t>
      </w:r>
    </w:p>
    <w:p>
      <w:pPr>
        <w:spacing w:after="0" w:line="18" w:lineRule="exact"/>
        <w:rPr>
          <w:rFonts w:ascii="Arial" w:cs="Arial" w:eastAsia="Arial" w:hAnsi="Arial"/>
          <w:sz w:val="16"/>
          <w:szCs w:val="16"/>
          <w:color w:val="auto"/>
        </w:rPr>
      </w:pPr>
    </w:p>
    <w:p>
      <w:pPr>
        <w:jc w:val="both"/>
        <w:ind w:left="682" w:right="2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a Schedule 13G/A filed on February 15, 2023 with the Securities Exchange Commission, the address of Inlight Wealth Management is 1175 Peachtree St NE Suite 350, Atlanta, GA 30361. Amount consists of 2,127,099 shares with sole voting and dispositive power, and 1,619,958 shares with shared dispositive power. The issuer retains sole voting power for 1,619,958 shares.</w:t>
      </w:r>
    </w:p>
    <w:p>
      <w:pPr>
        <w:jc w:val="both"/>
        <w:ind w:left="682" w:right="20" w:hanging="677"/>
        <w:spacing w:after="0" w:line="264"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a Schedule 13D/A filed on February 21, 2023 with the Securities and Exchange Commission, for a group of investors which includes Mr. Denver Smith (see footnote8). Mr. Smith disclaims beneficial interest over 89,464 shares owned by certain members of the group for which he has no voting power. The group uses an address at 52 Carlson Drive, Milford, CT, 06460.</w:t>
      </w:r>
    </w:p>
    <w:p>
      <w:pPr>
        <w:ind w:left="682" w:right="20" w:hanging="677"/>
        <w:spacing w:after="0" w:line="288" w:lineRule="auto"/>
        <w:tabs>
          <w:tab w:leader="none" w:pos="6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22,676,594 shares of common stock held by officers and directors. Also includes options to purchase 1,950,000 shares of common stock exercisable at March 3, 2023.</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69608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5"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subject to the requirements of any stock exchange or national securities association with respect to having a majority of “independent directors”. Messrs. Gold, Cohn, Polinsky, Pappas, Schmulen, Gramm and Smith are “independent” and only Messrs. Bennett, by virtue of being an Officer, and Klepfish, by virtue of being a former Officer, are not independent. Mr. Bennett does not participate in board discussions concerning his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engaged Assurance Dimensions, Inc. as our independent registered public accounting firm effective November 10, 2022. Total engagement fees of Assurance Dimensions, Inc. covering the years ended December 31, 2022 and 2023 are $210,000.</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engaged Liggett &amp; Webb P.A. (“LW”) as our independent registered public accounting from November 9, 2012 through November 9, 2022. During the years ended December 31, 2022 and 2021, LW billed us audit fees of approximately $174,000 and $144,000,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Audit-Related Fees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aggregate fees billed in each of the last two fiscal years for assurance and related services by Assurance Dimensions and by LW that are reasonably related to the performance of the audit or review of our consolidated financial statements including our quarterly interim reviews on Form 10-Q and are reported under Audit Fees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LW tax fees were $0 and $0 for the years ended December 31, 2022 and 2021,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Assurance Dimension, Inc. has not billed us any other fees since their engagement on November 10, 2022. LW has not billed any other fees since their engagement on November 9, 2012.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fiscal years ended December 31, 2022 and 2021 the board of directors considered the audit fees, audit-related fees, tax fees and other fees paid to our accountants, as disclosed above, and determined that the payment of such fees was compatible with maintaining the independence of the accountants. Our board of directors pre-approves all auditing services and all permitted non-auditing services (including the fees and terms thereof) to be performed by our independent registered public accounting firm, except for de minimis non-audit services that are approved by the board of directors prior to the completion of the audit.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Articles of Incorporation (incorporated by reference to exhibit 3.1 of the Company’s annual report on Form 10-KSB for the year ended</w:t>
              </w:r>
            </w:hyperlink>
          </w:p>
        </w:tc>
      </w:tr>
      <w:tr>
        <w:trPr>
          <w:trHeight w:val="196"/>
        </w:trPr>
        <w:tc>
          <w:tcPr>
            <w:tcW w:w="1100" w:type="dxa"/>
            <w:vAlign w:val="bottom"/>
          </w:tcPr>
          <w:p>
            <w:pPr>
              <w:spacing w:after="0"/>
              <w:rPr>
                <w:sz w:val="17"/>
                <w:szCs w:val="17"/>
                <w:color w:val="auto"/>
              </w:rPr>
            </w:pPr>
          </w:p>
        </w:tc>
        <w:tc>
          <w:tcPr>
            <w:tcW w:w="69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December 31, 2004 filed with the Securities and Exchange Commission on September 28, 2005)</w:t>
              </w:r>
            </w:hyperlink>
          </w:p>
        </w:tc>
        <w:tc>
          <w:tcPr>
            <w:tcW w:w="288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Amended Bylaws of the Company (incorporated by reference to exhibit 3.2 of the Company’s annual report Form 10-K for the year</w:t>
              </w:r>
            </w:hyperlink>
          </w:p>
        </w:tc>
      </w:tr>
      <w:tr>
        <w:trPr>
          <w:trHeight w:val="196"/>
        </w:trPr>
        <w:tc>
          <w:tcPr>
            <w:tcW w:w="1100" w:type="dxa"/>
            <w:vAlign w:val="bottom"/>
          </w:tcPr>
          <w:p>
            <w:pPr>
              <w:spacing w:after="0"/>
              <w:rPr>
                <w:sz w:val="17"/>
                <w:szCs w:val="17"/>
                <w:color w:val="auto"/>
              </w:rPr>
            </w:pPr>
          </w:p>
        </w:tc>
        <w:tc>
          <w:tcPr>
            <w:tcW w:w="714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ended December 31, 2010 filed with the Securities and Exchange Commission on March 16, 2011)</w:t>
              </w:r>
            </w:hyperlink>
          </w:p>
        </w:tc>
        <w:tc>
          <w:tcPr>
            <w:tcW w:w="272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Amended Bylaws of the Company (incorporated by reference to exhibit 3.2 of the Company’s current report Form 8-K filed with the</w:t>
              </w:r>
            </w:hyperlink>
          </w:p>
        </w:tc>
      </w:tr>
      <w:tr>
        <w:trPr>
          <w:trHeight w:val="196"/>
        </w:trPr>
        <w:tc>
          <w:tcPr>
            <w:tcW w:w="1100" w:type="dxa"/>
            <w:vAlign w:val="bottom"/>
          </w:tcPr>
          <w:p>
            <w:pPr>
              <w:spacing w:after="0"/>
              <w:rPr>
                <w:sz w:val="17"/>
                <w:szCs w:val="17"/>
                <w:color w:val="auto"/>
              </w:rPr>
            </w:pPr>
          </w:p>
        </w:tc>
        <w:tc>
          <w:tcPr>
            <w:tcW w:w="430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Securities and Exchange Commission on January 23, 2018)</w:t>
              </w:r>
            </w:hyperlink>
          </w:p>
        </w:tc>
        <w:tc>
          <w:tcPr>
            <w:tcW w:w="556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4"/>
              </w:rPr>
            </w:pPr>
            <w:hyperlink r:id="rId72">
              <w:r>
                <w:rPr>
                  <w:rFonts w:ascii="Arial" w:cs="Arial" w:eastAsia="Arial" w:hAnsi="Arial"/>
                  <w:sz w:val="18"/>
                  <w:szCs w:val="18"/>
                  <w:color w:val="0000EE"/>
                  <w:w w:val="94"/>
                </w:rPr>
                <w:t>Amended Bylaws of the Company (incorporated by reference to exhibit 3.1 of the Company’s current report Form 8-K filed with the</w:t>
              </w:r>
            </w:hyperlink>
          </w:p>
        </w:tc>
      </w:tr>
      <w:tr>
        <w:trPr>
          <w:trHeight w:val="196"/>
        </w:trPr>
        <w:tc>
          <w:tcPr>
            <w:tcW w:w="1100" w:type="dxa"/>
            <w:vAlign w:val="bottom"/>
          </w:tcPr>
          <w:p>
            <w:pPr>
              <w:spacing w:after="0"/>
              <w:rPr>
                <w:sz w:val="17"/>
                <w:szCs w:val="17"/>
                <w:color w:val="auto"/>
              </w:rPr>
            </w:pPr>
          </w:p>
        </w:tc>
        <w:tc>
          <w:tcPr>
            <w:tcW w:w="454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Securities and Exchange Commission on September 14, 2021)</w:t>
              </w:r>
            </w:hyperlink>
          </w:p>
        </w:tc>
        <w:tc>
          <w:tcPr>
            <w:tcW w:w="532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6"/>
              </w:rPr>
            </w:pPr>
            <w:hyperlink r:id="rId73">
              <w:r>
                <w:rPr>
                  <w:rFonts w:ascii="Arial" w:cs="Arial" w:eastAsia="Arial" w:hAnsi="Arial"/>
                  <w:sz w:val="18"/>
                  <w:szCs w:val="18"/>
                  <w:color w:val="0000EE"/>
                  <w:w w:val="96"/>
                </w:rPr>
                <w:t>Employment Agreement with Sam Klepfish (incorporated by reference to exhibit 10.1 of the Company’s Form 10-Q filed with the</w:t>
              </w:r>
            </w:hyperlink>
          </w:p>
        </w:tc>
      </w:tr>
      <w:tr>
        <w:trPr>
          <w:trHeight w:val="196"/>
        </w:trPr>
        <w:tc>
          <w:tcPr>
            <w:tcW w:w="1100" w:type="dxa"/>
            <w:vAlign w:val="bottom"/>
          </w:tcPr>
          <w:p>
            <w:pPr>
              <w:spacing w:after="0"/>
              <w:rPr>
                <w:sz w:val="17"/>
                <w:szCs w:val="17"/>
                <w:color w:val="auto"/>
              </w:rPr>
            </w:pPr>
          </w:p>
        </w:tc>
        <w:tc>
          <w:tcPr>
            <w:tcW w:w="452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Securities and Exchange Commission on November 21, 2012)</w:t>
              </w:r>
            </w:hyperlink>
          </w:p>
        </w:tc>
        <w:tc>
          <w:tcPr>
            <w:tcW w:w="5340" w:type="dxa"/>
            <w:vAlign w:val="bottom"/>
            <w:gridSpan w:val="10"/>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8"/>
              </w:rPr>
            </w:pPr>
            <w:hyperlink r:id="rId74">
              <w:r>
                <w:rPr>
                  <w:rFonts w:ascii="Arial" w:cs="Arial" w:eastAsia="Arial" w:hAnsi="Arial"/>
                  <w:sz w:val="18"/>
                  <w:szCs w:val="18"/>
                  <w:color w:val="0000EE"/>
                  <w:w w:val="98"/>
                </w:rPr>
                <w:t>Employment Agreement Justin Wiernasz (incorporated by reference to exhibit 10.2 of the Company’s Form 10-Q filed with the</w:t>
              </w:r>
            </w:hyperlink>
          </w:p>
        </w:tc>
      </w:tr>
      <w:tr>
        <w:trPr>
          <w:trHeight w:val="196"/>
        </w:trPr>
        <w:tc>
          <w:tcPr>
            <w:tcW w:w="1100" w:type="dxa"/>
            <w:vAlign w:val="bottom"/>
          </w:tcPr>
          <w:p>
            <w:pPr>
              <w:spacing w:after="0"/>
              <w:rPr>
                <w:sz w:val="17"/>
                <w:szCs w:val="17"/>
                <w:color w:val="auto"/>
              </w:rPr>
            </w:pPr>
          </w:p>
        </w:tc>
        <w:tc>
          <w:tcPr>
            <w:tcW w:w="450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Securities and Exchange Commission on November 21, 2012)</w:t>
              </w:r>
            </w:hyperlink>
          </w:p>
        </w:tc>
        <w:tc>
          <w:tcPr>
            <w:tcW w:w="5360" w:type="dxa"/>
            <w:vAlign w:val="bottom"/>
            <w:gridSpan w:val="11"/>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10.3</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Loan Agreement between the registrant and Fifth Third Bank effective February 26, 2013 (incorporated by reference to exhibit 10.1 of</w:t>
              </w:r>
            </w:hyperlink>
          </w:p>
        </w:tc>
      </w:tr>
      <w:tr>
        <w:trPr>
          <w:trHeight w:val="196"/>
        </w:trPr>
        <w:tc>
          <w:tcPr>
            <w:tcW w:w="1100" w:type="dxa"/>
            <w:vAlign w:val="bottom"/>
          </w:tcPr>
          <w:p>
            <w:pPr>
              <w:spacing w:after="0"/>
              <w:rPr>
                <w:sz w:val="17"/>
                <w:szCs w:val="17"/>
                <w:color w:val="auto"/>
              </w:rPr>
            </w:pPr>
          </w:p>
        </w:tc>
        <w:tc>
          <w:tcPr>
            <w:tcW w:w="84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the Company’s Current Report on Form 8-K filed with the Securities and Exchange Commission on March 15, 2013)</w:t>
              </w:r>
            </w:hyperlink>
          </w:p>
        </w:tc>
        <w:tc>
          <w:tcPr>
            <w:tcW w:w="140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2"/>
              </w:rPr>
            </w:pPr>
            <w:hyperlink r:id="rId76">
              <w:r>
                <w:rPr>
                  <w:rFonts w:ascii="Arial" w:cs="Arial" w:eastAsia="Arial" w:hAnsi="Arial"/>
                  <w:sz w:val="18"/>
                  <w:szCs w:val="18"/>
                  <w:color w:val="0000EE"/>
                  <w:w w:val="92"/>
                </w:rPr>
                <w:t>Security Agreement between the registrant and Fifth Third Bank effective February 26, 2013 (incorporated by reference to exhibit 10.2</w:t>
              </w:r>
            </w:hyperlink>
          </w:p>
        </w:tc>
      </w:tr>
      <w:tr>
        <w:trPr>
          <w:trHeight w:val="196"/>
        </w:trPr>
        <w:tc>
          <w:tcPr>
            <w:tcW w:w="1100" w:type="dxa"/>
            <w:vAlign w:val="bottom"/>
          </w:tcPr>
          <w:p>
            <w:pPr>
              <w:spacing w:after="0"/>
              <w:rPr>
                <w:sz w:val="17"/>
                <w:szCs w:val="17"/>
                <w:color w:val="auto"/>
              </w:rPr>
            </w:pPr>
          </w:p>
        </w:tc>
        <w:tc>
          <w:tcPr>
            <w:tcW w:w="866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of the Company’s Current Report on Form 8-K filed with the Securities and Exchange Commission on March 15, 2013)</w:t>
              </w:r>
            </w:hyperlink>
          </w:p>
        </w:tc>
        <w:tc>
          <w:tcPr>
            <w:tcW w:w="120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10.5</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Mortgage by registrant in favor of Fifth Third Bank effective February 26, 2013 (incorporated by reference to exhibit 10.3 of the</w:t>
              </w:r>
            </w:hyperlink>
          </w:p>
        </w:tc>
      </w:tr>
      <w:tr>
        <w:trPr>
          <w:trHeight w:val="196"/>
        </w:trPr>
        <w:tc>
          <w:tcPr>
            <w:tcW w:w="1100" w:type="dxa"/>
            <w:vAlign w:val="bottom"/>
          </w:tcPr>
          <w:p>
            <w:pPr>
              <w:spacing w:after="0"/>
              <w:rPr>
                <w:sz w:val="17"/>
                <w:szCs w:val="17"/>
                <w:color w:val="auto"/>
              </w:rPr>
            </w:pPr>
          </w:p>
        </w:tc>
        <w:tc>
          <w:tcPr>
            <w:tcW w:w="820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Company’s Current Report on Form 8-K filed with the Securities and Exchange Commission on March 15, 2013)</w:t>
              </w:r>
            </w:hyperlink>
          </w:p>
        </w:tc>
        <w:tc>
          <w:tcPr>
            <w:tcW w:w="166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10.6</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Note by registrant in favor of Fifth Third Bank effective February 26, 2013 (incorporated by reference to exhibit 10.4 of the Company’s</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Current Report on Form 8-K filed with the Securities and Exchange Commission on March 15, 2013)</w:t>
              </w:r>
            </w:hyperlink>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10.7</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Employment Agreement with Sam Klepfish dated as of March 29, 2017 (incorporated by reference to the Company’s Form 10-K filed</w:t>
              </w:r>
            </w:hyperlink>
          </w:p>
        </w:tc>
      </w:tr>
      <w:tr>
        <w:trPr>
          <w:trHeight w:val="196"/>
        </w:trPr>
        <w:tc>
          <w:tcPr>
            <w:tcW w:w="1100" w:type="dxa"/>
            <w:vAlign w:val="bottom"/>
          </w:tcPr>
          <w:p>
            <w:pPr>
              <w:spacing w:after="0"/>
              <w:rPr>
                <w:sz w:val="17"/>
                <w:szCs w:val="17"/>
                <w:color w:val="auto"/>
              </w:rPr>
            </w:pPr>
          </w:p>
        </w:tc>
        <w:tc>
          <w:tcPr>
            <w:tcW w:w="484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with the Securities and Exchange Commission on March 30, 2017)</w:t>
              </w:r>
            </w:hyperlink>
          </w:p>
        </w:tc>
        <w:tc>
          <w:tcPr>
            <w:tcW w:w="50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10.8</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Employment Agreement with Justin Wiernasz dated as of March 29, 2017 (incorporated by reference to the Company’s Form 10-K filed</w:t>
              </w:r>
            </w:hyperlink>
          </w:p>
        </w:tc>
      </w:tr>
      <w:tr>
        <w:trPr>
          <w:trHeight w:val="196"/>
        </w:trPr>
        <w:tc>
          <w:tcPr>
            <w:tcW w:w="1100" w:type="dxa"/>
            <w:vAlign w:val="bottom"/>
          </w:tcPr>
          <w:p>
            <w:pPr>
              <w:spacing w:after="0"/>
              <w:rPr>
                <w:sz w:val="17"/>
                <w:szCs w:val="17"/>
                <w:color w:val="auto"/>
              </w:rPr>
            </w:pPr>
          </w:p>
        </w:tc>
        <w:tc>
          <w:tcPr>
            <w:tcW w:w="484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with the Securities and Exchange Commission on March 30, 2017)</w:t>
              </w:r>
            </w:hyperlink>
          </w:p>
        </w:tc>
        <w:tc>
          <w:tcPr>
            <w:tcW w:w="50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10.9</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2"/>
              </w:rPr>
            </w:pPr>
            <w:hyperlink r:id="rId81">
              <w:r>
                <w:rPr>
                  <w:rFonts w:ascii="Arial" w:cs="Arial" w:eastAsia="Arial" w:hAnsi="Arial"/>
                  <w:sz w:val="18"/>
                  <w:szCs w:val="18"/>
                  <w:color w:val="0000EE"/>
                  <w:w w:val="92"/>
                </w:rPr>
                <w:t>Asset Purchase Agreement dated as of January 22, 2018 by and among Innovative Gourmet, LLC, a subsidiary of the registrant, and</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igourmet LLC and igourmet NY LLC (incorporated by reference to the Company’s Form 8-K filed with the Securities and Exchange</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Commission on January 30, 2018)</w:t>
              </w:r>
            </w:hyperlink>
          </w:p>
        </w:tc>
      </w:tr>
      <w:tr>
        <w:trPr>
          <w:trHeight w:val="20"/>
        </w:trPr>
        <w:tc>
          <w:tcPr>
            <w:tcW w:w="110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9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Loan Sale Agreement dated as of January 10, 2018 between Food Funding, LLC, a subsidiary of the registrant and UPS Capital</w:t>
              </w:r>
            </w:hyperlink>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5"/>
          </w:tcPr>
          <w:p>
            <w:pPr>
              <w:ind w:left="20"/>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Business Credit (incorporated by reference to the Company’s Form 8-K filed with the Securities and Exchange Commission on January</w:t>
              </w:r>
            </w:hyperlink>
          </w:p>
        </w:tc>
      </w:tr>
      <w:tr>
        <w:trPr>
          <w:trHeight w:val="196"/>
        </w:trPr>
        <w:tc>
          <w:tcPr>
            <w:tcW w:w="1100" w:type="dxa"/>
            <w:vAlign w:val="bottom"/>
          </w:tcPr>
          <w:p>
            <w:pPr>
              <w:spacing w:after="0"/>
              <w:rPr>
                <w:sz w:val="17"/>
                <w:szCs w:val="17"/>
                <w:color w:val="auto"/>
              </w:rPr>
            </w:pPr>
          </w:p>
        </w:tc>
        <w:tc>
          <w:tcPr>
            <w:tcW w:w="700" w:type="dxa"/>
            <w:vAlign w:val="bottom"/>
            <w:tcBorders>
              <w:bottom w:val="single" w:sz="8" w:color="0000EE"/>
            </w:tcBorders>
          </w:tcPr>
          <w:p>
            <w:pPr>
              <w:ind w:left="20"/>
              <w:spacing w:after="0" w:line="196"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30, 2018)</w:t>
              </w:r>
            </w:hyperlink>
          </w:p>
        </w:tc>
        <w:tc>
          <w:tcPr>
            <w:tcW w:w="17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000EE"/>
            </w:tcBorders>
            <w:gridSpan w:val="15"/>
          </w:tcPr>
          <w:p>
            <w:pPr>
              <w:ind w:left="20"/>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Fifth Amendment to Restated Loan Agreement dated February 28, 2018 between Fifth Third Bank and the registrant and its subsidiaries</w:t>
              </w:r>
            </w:hyperlink>
          </w:p>
        </w:tc>
      </w:tr>
      <w:tr>
        <w:trPr>
          <w:trHeight w:val="196"/>
        </w:trPr>
        <w:tc>
          <w:tcPr>
            <w:tcW w:w="1100" w:type="dxa"/>
            <w:vAlign w:val="bottom"/>
          </w:tcPr>
          <w:p>
            <w:pPr>
              <w:spacing w:after="0"/>
              <w:rPr>
                <w:sz w:val="17"/>
                <w:szCs w:val="17"/>
                <w:color w:val="auto"/>
              </w:rPr>
            </w:pPr>
          </w:p>
        </w:tc>
        <w:tc>
          <w:tcPr>
            <w:tcW w:w="9860" w:type="dxa"/>
            <w:vAlign w:val="bottom"/>
            <w:gridSpan w:val="15"/>
          </w:tcPr>
          <w:p>
            <w:pPr>
              <w:ind w:left="20"/>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(incorporated by reference to the Company’s Form 10-K filed with the Securities and Exchange Commission on March 29, 2018).</w:t>
              </w:r>
            </w:hyperlink>
          </w:p>
        </w:tc>
      </w:tr>
      <w:tr>
        <w:trPr>
          <w:trHeight w:val="452"/>
        </w:trPr>
        <w:tc>
          <w:tcPr>
            <w:tcW w:w="1100" w:type="dxa"/>
            <w:vAlign w:val="bottom"/>
          </w:tcPr>
          <w:p>
            <w:pPr>
              <w:spacing w:after="0"/>
              <w:rPr>
                <w:sz w:val="24"/>
                <w:szCs w:val="24"/>
                <w:color w:val="auto"/>
              </w:rPr>
            </w:pPr>
          </w:p>
        </w:tc>
        <w:tc>
          <w:tcPr>
            <w:tcW w:w="4500" w:type="dxa"/>
            <w:vAlign w:val="bottom"/>
            <w:tcBorders>
              <w:top w:val="single" w:sz="8" w:color="0000EE"/>
            </w:tcBorders>
            <w:gridSpan w:val="4"/>
          </w:tcPr>
          <w:p>
            <w:pPr>
              <w:ind w:left="4300"/>
              <w:spacing w:after="0"/>
              <w:rPr>
                <w:sz w:val="20"/>
                <w:szCs w:val="20"/>
                <w:color w:val="auto"/>
              </w:rPr>
            </w:pPr>
            <w:r>
              <w:rPr>
                <w:rFonts w:ascii="Arial" w:cs="Arial" w:eastAsia="Arial" w:hAnsi="Arial"/>
                <w:sz w:val="18"/>
                <w:szCs w:val="18"/>
                <w:color w:val="auto"/>
                <w:w w:val="89"/>
              </w:rPr>
              <w:t>69</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5" w:right="47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2"/>
          </w:tcPr>
          <w:p>
            <w:pPr>
              <w:spacing w:after="0"/>
              <w:rPr>
                <w:sz w:val="20"/>
                <w:szCs w:val="20"/>
                <w:color w:val="auto"/>
              </w:rPr>
            </w:pPr>
            <w:r>
              <w:rPr>
                <w:rFonts w:ascii="Arial" w:cs="Arial" w:eastAsia="Arial" w:hAnsi="Arial"/>
                <w:sz w:val="18"/>
                <w:szCs w:val="18"/>
                <w:color w:val="0000EE"/>
              </w:rPr>
              <w:t>Index</w:t>
            </w:r>
          </w:p>
        </w:tc>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6"/>
              </w:rPr>
            </w:pPr>
            <w:hyperlink r:id="rId84">
              <w:r>
                <w:rPr>
                  <w:rFonts w:ascii="Arial" w:cs="Arial" w:eastAsia="Arial" w:hAnsi="Arial"/>
                  <w:sz w:val="18"/>
                  <w:szCs w:val="18"/>
                  <w:color w:val="0000EE"/>
                  <w:w w:val="96"/>
                </w:rPr>
                <w:t>Promissory Note of the registrant and its subsidiaries in favor of Fifth Third Bank dated as of February 28, 2018 (incorporated by</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4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reference to the Company’s Form 10-K filed with the Securities and Exchange Commission on March 29, 2018).</w:t>
              </w:r>
            </w:hyperlink>
          </w:p>
        </w:tc>
        <w:tc>
          <w:tcPr>
            <w:tcW w:w="1720" w:type="dxa"/>
            <w:vAlign w:val="bottom"/>
            <w:gridSpan w:val="3"/>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10.13</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Draw Promissory Note of the registrant and its subsidiaries in favor of Fifth Third Bank dated as of March 13, 2018 (incorporated by</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140" w:type="dxa"/>
            <w:vAlign w:val="bottom"/>
            <w:tcBorders>
              <w:bottom w:val="single" w:sz="8" w:color="0000EE"/>
            </w:tcBorders>
            <w:gridSpan w:val="9"/>
          </w:tcPr>
          <w:p>
            <w:pPr>
              <w:ind w:left="20"/>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reference to the Company’s Form 10-K filed with the Securities and Exchange Commission on March 29, 2018).</w:t>
              </w:r>
            </w:hyperlink>
          </w:p>
        </w:tc>
        <w:tc>
          <w:tcPr>
            <w:tcW w:w="1720" w:type="dxa"/>
            <w:vAlign w:val="bottom"/>
            <w:gridSpan w:val="3"/>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10.14</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9"/>
              </w:rPr>
            </w:pPr>
            <w:hyperlink r:id="rId86">
              <w:r>
                <w:rPr>
                  <w:rFonts w:ascii="Arial" w:cs="Arial" w:eastAsia="Arial" w:hAnsi="Arial"/>
                  <w:sz w:val="18"/>
                  <w:szCs w:val="18"/>
                  <w:color w:val="0000EE"/>
                  <w:w w:val="99"/>
                </w:rPr>
                <w:t>Master Loan and Security Agreement dated March 13, 2018 between Fifth Third Bank and the registrant and its subsidiaries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(incorporated by reference to the Company’s Form 10-K filed with the Securities and Exchange Commission on March 29, 2018).</w:t>
              </w:r>
            </w:hyperlink>
          </w:p>
        </w:tc>
        <w:tc>
          <w:tcPr>
            <w:tcW w:w="480" w:type="dxa"/>
            <w:vAlign w:val="bottom"/>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Employment Agreement with Sam Klepfish dated as of January 28, 2019 (incorporated by reference to the Company’s Form 8-K filed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with the Securities and Exchange Commission on February 1, 2019)</w:t>
              </w:r>
            </w:hyperlink>
          </w:p>
        </w:tc>
      </w:tr>
      <w:tr>
        <w:trPr>
          <w:trHeight w:val="20"/>
        </w:trPr>
        <w:tc>
          <w:tcPr>
            <w:tcW w:w="1100" w:type="dxa"/>
            <w:vAlign w:val="bottom"/>
            <w:gridSpan w:val="2"/>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10.16</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Employment Agreement with Justin Wiernasz dated as of January 28, 2019 (incorporated by reference to the Company’s Form 8-K filed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with the Securities and Exchange Commission on February 1, 2019)</w:t>
              </w:r>
            </w:hyperlink>
          </w:p>
        </w:tc>
      </w:tr>
      <w:tr>
        <w:trPr>
          <w:trHeight w:val="20"/>
        </w:trPr>
        <w:tc>
          <w:tcPr>
            <w:tcW w:w="1100" w:type="dxa"/>
            <w:vAlign w:val="bottom"/>
            <w:gridSpan w:val="2"/>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10.17</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7"/>
              </w:rPr>
            </w:pPr>
            <w:hyperlink r:id="rId89">
              <w:r>
                <w:rPr>
                  <w:rFonts w:ascii="Arial" w:cs="Arial" w:eastAsia="Arial" w:hAnsi="Arial"/>
                  <w:sz w:val="18"/>
                  <w:szCs w:val="18"/>
                  <w:color w:val="0000EE"/>
                  <w:w w:val="97"/>
                </w:rPr>
                <w:t>Form of Director Agreement dated as of January 28, 2019 (incorporated by reference to the Company’s Form 8-K filed with the</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0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Securities and Exchange Commission on February 1, 2019)</w:t>
              </w:r>
            </w:hyperlink>
          </w:p>
        </w:tc>
        <w:tc>
          <w:tcPr>
            <w:tcW w:w="5560" w:type="dxa"/>
            <w:vAlign w:val="bottom"/>
            <w:gridSpan w:val="9"/>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10.18</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Eighth Amendment to Restated Loan Agreement dated as of November 9, 2019 between Fifth Third Bank, National Association, and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5"/>
              </w:rPr>
            </w:pPr>
            <w:hyperlink r:id="rId90">
              <w:r>
                <w:rPr>
                  <w:rFonts w:ascii="Arial" w:cs="Arial" w:eastAsia="Arial" w:hAnsi="Arial"/>
                  <w:sz w:val="18"/>
                  <w:szCs w:val="18"/>
                  <w:color w:val="0000EE"/>
                  <w:w w:val="95"/>
                </w:rPr>
                <w:t>the Registrant and certain of its subsidiaries (incorporated by reference to the Company’s Form 10-Q filed with the Securities and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Exchange 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10.19</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Promissory Note effective November 9, 2019 between Fifth Third Bank, National Association, and Innovative Food Properties, LLC, 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7"/>
              </w:rPr>
            </w:pPr>
            <w:hyperlink r:id="rId91">
              <w:r>
                <w:rPr>
                  <w:rFonts w:ascii="Arial" w:cs="Arial" w:eastAsia="Arial" w:hAnsi="Arial"/>
                  <w:sz w:val="18"/>
                  <w:szCs w:val="18"/>
                  <w:color w:val="0000EE"/>
                  <w:w w:val="97"/>
                </w:rPr>
                <w:t>wholly-owned subsidiary of the Registrant (incorporated by reference to the Company’s Form 10-Q filed with the Securities and</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Exchange 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10.20</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6"/>
              </w:rPr>
            </w:pPr>
            <w:hyperlink r:id="rId92">
              <w:r>
                <w:rPr>
                  <w:rFonts w:ascii="Arial" w:cs="Arial" w:eastAsia="Arial" w:hAnsi="Arial"/>
                  <w:sz w:val="18"/>
                  <w:szCs w:val="18"/>
                  <w:color w:val="0000EE"/>
                  <w:w w:val="96"/>
                </w:rPr>
                <w:t>Mortgage, Assignment of Leases, Fixture Filing and Security Agreement date as of November 9, 2019 between Fifth Third Bank,</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National Association, and Innovative Food Properties, LLC, a wholly-owned subsidiary of the Registrant (incorporated by reference to</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the Company’s Form 10-Q filed with the Securities and Exchange Commission on November 14, 2019).</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10.21</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2"/>
              </w:rPr>
            </w:pPr>
            <w:hyperlink r:id="rId93">
              <w:r>
                <w:rPr>
                  <w:rFonts w:ascii="Arial" w:cs="Arial" w:eastAsia="Arial" w:hAnsi="Arial"/>
                  <w:sz w:val="18"/>
                  <w:szCs w:val="18"/>
                  <w:color w:val="0000EE"/>
                  <w:w w:val="92"/>
                </w:rPr>
                <w:t>Agreement for Purchase and Sale of Real Estate dated as of August 9, 2019 (incorporated by reference to the Company’s Form 10-Q</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filed with the Securities and Exchange Commission on August 14, 2019).</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10.22</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Securities Purchase Agreement dated August 26, 2021 between the Company and each of JCP Investment Partnership LP, Bandera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Master Fund L.P. and SV Asset Management LLC. *(incorporated by reference to the Company’s Form 8-K filed with the Securities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and Exchange Commission on August 31, 2021).</w:t>
              </w:r>
            </w:hyperlink>
          </w:p>
        </w:tc>
      </w:tr>
      <w:tr>
        <w:trPr>
          <w:trHeight w:val="20"/>
        </w:trPr>
        <w:tc>
          <w:tcPr>
            <w:tcW w:w="1100" w:type="dxa"/>
            <w:vAlign w:val="bottom"/>
            <w:gridSpan w:val="2"/>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10.23</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Loan Agreement dated as of June 6, 2022 between the Registrant, Innovative Food Properties, LLC and MapleMark Bank (FL, IL)</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w w:val="97"/>
              </w:rPr>
            </w:pPr>
            <w:hyperlink r:id="rId95">
              <w:r>
                <w:rPr>
                  <w:rFonts w:ascii="Arial" w:cs="Arial" w:eastAsia="Arial" w:hAnsi="Arial"/>
                  <w:sz w:val="18"/>
                  <w:szCs w:val="18"/>
                  <w:color w:val="0000EE"/>
                  <w:w w:val="97"/>
                </w:rPr>
                <w:t>(incorporated by reference to the Company’s Form 8-K filed with the Securities and Exchange Commission on June 14, 2022).</w:t>
              </w:r>
            </w:hyperlink>
          </w:p>
        </w:tc>
      </w:tr>
      <w:tr>
        <w:trPr>
          <w:trHeight w:val="20"/>
        </w:trPr>
        <w:tc>
          <w:tcPr>
            <w:tcW w:w="1100" w:type="dxa"/>
            <w:vAlign w:val="bottom"/>
            <w:gridSpan w:val="2"/>
          </w:tcPr>
          <w:p>
            <w:pPr>
              <w:spacing w:after="0" w:line="20" w:lineRule="exact"/>
              <w:rPr>
                <w:sz w:val="1"/>
                <w:szCs w:val="1"/>
                <w:color w:val="auto"/>
              </w:rPr>
            </w:pPr>
          </w:p>
        </w:tc>
        <w:tc>
          <w:tcPr>
            <w:tcW w:w="5880" w:type="dxa"/>
            <w:vAlign w:val="bottom"/>
            <w:gridSpan w:val="6"/>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10.24</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7"/>
              </w:rPr>
            </w:pPr>
            <w:hyperlink r:id="rId96">
              <w:r>
                <w:rPr>
                  <w:rFonts w:ascii="Arial" w:cs="Arial" w:eastAsia="Arial" w:hAnsi="Arial"/>
                  <w:sz w:val="18"/>
                  <w:szCs w:val="18"/>
                  <w:color w:val="0000EE"/>
                  <w:w w:val="97"/>
                </w:rPr>
                <w:t>Loan Agreement dated as of June 6, 2022 between the Registrant, Innovative Food Properties, LLC and MapleMark Bank (PA)</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60" w:type="dxa"/>
            <w:vAlign w:val="bottom"/>
            <w:gridSpan w:val="12"/>
          </w:tcPr>
          <w:p>
            <w:pPr>
              <w:ind w:left="20"/>
              <w:spacing w:after="0" w:line="19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(incorporated by reference to the Company’s Form 8-K filed with the Securities and Exchange Commission on June 14, 2022).</w:t>
              </w:r>
            </w:hyperlink>
          </w:p>
        </w:tc>
      </w:tr>
      <w:tr>
        <w:trPr>
          <w:trHeight w:val="20"/>
        </w:trPr>
        <w:tc>
          <w:tcPr>
            <w:tcW w:w="1100" w:type="dxa"/>
            <w:vAlign w:val="bottom"/>
            <w:gridSpan w:val="2"/>
          </w:tcPr>
          <w:p>
            <w:pPr>
              <w:spacing w:after="0" w:line="20" w:lineRule="exact"/>
              <w:rPr>
                <w:sz w:val="1"/>
                <w:szCs w:val="1"/>
                <w:color w:val="auto"/>
              </w:rPr>
            </w:pPr>
          </w:p>
        </w:tc>
        <w:tc>
          <w:tcPr>
            <w:tcW w:w="5880" w:type="dxa"/>
            <w:vAlign w:val="bottom"/>
            <w:gridSpan w:val="6"/>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10.25</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Loan Agreement dated as of June 6, 2022 between the Registrant and MapleMark Bank (incorporated by reference to the Company’s</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8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Form 8-K filed with the Securities and Exchange Commission on June 14, 2022).</w:t>
              </w:r>
            </w:hyperlink>
          </w:p>
        </w:tc>
        <w:tc>
          <w:tcPr>
            <w:tcW w:w="3980" w:type="dxa"/>
            <w:vAlign w:val="bottom"/>
            <w:gridSpan w:val="6"/>
          </w:tcPr>
          <w:p>
            <w:pPr>
              <w:spacing w:after="0"/>
              <w:rPr>
                <w:sz w:val="17"/>
                <w:szCs w:val="17"/>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10.26</w:t>
            </w:r>
          </w:p>
        </w:tc>
        <w:tc>
          <w:tcPr>
            <w:tcW w:w="9860" w:type="dxa"/>
            <w:vAlign w:val="bottom"/>
            <w:tcBorders>
              <w:bottom w:val="single" w:sz="8" w:color="0000EE"/>
            </w:tcBorders>
            <w:gridSpan w:val="12"/>
          </w:tcPr>
          <w:p>
            <w:pPr>
              <w:ind w:left="20"/>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Board Observer Agreement dated as of November 28, 2022 between the Registrant and Denver J. Smith (incorporated by reference to</w:t>
              </w:r>
            </w:hyperlink>
          </w:p>
        </w:tc>
      </w:tr>
      <w:tr>
        <w:trPr>
          <w:trHeight w:val="196"/>
        </w:trPr>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4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the Company’s Form 8-K filed with the Securities and Exchange Commission on November 29, 2022).</w:t>
              </w:r>
            </w:hyperlink>
          </w:p>
        </w:tc>
        <w:tc>
          <w:tcPr>
            <w:tcW w:w="2420" w:type="dxa"/>
            <w:vAlign w:val="bottom"/>
            <w:gridSpan w:val="5"/>
          </w:tcPr>
          <w:p>
            <w:pPr>
              <w:spacing w:after="0"/>
              <w:rPr>
                <w:sz w:val="17"/>
                <w:szCs w:val="17"/>
                <w:color w:val="auto"/>
              </w:rPr>
            </w:pPr>
          </w:p>
        </w:tc>
      </w:tr>
    </w:tbl>
    <w:p>
      <w:pPr>
        <w:spacing w:after="0" w:line="229" w:lineRule="exact"/>
        <w:rPr>
          <w:sz w:val="20"/>
          <w:szCs w:val="20"/>
          <w:color w:val="auto"/>
        </w:rPr>
      </w:pPr>
    </w:p>
    <w:p>
      <w:pPr>
        <w:ind w:left="1120" w:hanging="1117"/>
        <w:spacing w:after="0" w:line="277" w:lineRule="auto"/>
        <w:tabs>
          <w:tab w:leader="none" w:pos="1120" w:val="left"/>
        </w:tabs>
        <w:numPr>
          <w:ilvl w:val="0"/>
          <w:numId w:val="21"/>
        </w:numPr>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Code of Ethics (incorporated by reference to exhibit 14 of the Company’s Form 10-KSB/A for the year ended December 31, 2006, filed</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with the Securities and Exchange Commission on July 31, 2008)</w:t>
        </w:r>
      </w:hyperlink>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Index</w:t>
      </w:r>
    </w:p>
    <w:p>
      <w:pPr>
        <w:spacing w:after="0" w:line="225" w:lineRule="exact"/>
        <w:rPr>
          <w:sz w:val="20"/>
          <w:szCs w:val="20"/>
          <w:color w:val="auto"/>
        </w:rPr>
      </w:pPr>
    </w:p>
    <w:p>
      <w:pPr>
        <w:ind w:left="1120" w:hanging="111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EE"/>
        </w:rPr>
        <w:t>Subsidiaries of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4020" w:type="dxa"/>
            <w:vAlign w:val="bottom"/>
            <w:tcBorders>
              <w:bottom w:val="single" w:sz="8" w:color="0000EE"/>
            </w:tcBorders>
            <w:gridSpan w:val="2"/>
          </w:tcPr>
          <w:p>
            <w:pPr>
              <w:ind w:left="20"/>
              <w:spacing w:after="0"/>
              <w:rPr>
                <w:sz w:val="20"/>
                <w:szCs w:val="20"/>
                <w:color w:val="auto"/>
              </w:rPr>
            </w:pPr>
            <w:r>
              <w:rPr>
                <w:rFonts w:ascii="Arial" w:cs="Arial" w:eastAsia="Arial" w:hAnsi="Arial"/>
                <w:sz w:val="18"/>
                <w:szCs w:val="18"/>
                <w:color w:val="0000EE"/>
                <w:w w:val="92"/>
              </w:rPr>
              <w:t>Rule 13a-14(a) Certification of Chief Executive Officer</w:t>
            </w:r>
          </w:p>
        </w:tc>
        <w:tc>
          <w:tcPr>
            <w:tcW w:w="36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4380" w:type="dxa"/>
            <w:vAlign w:val="bottom"/>
            <w:tcBorders>
              <w:bottom w:val="single" w:sz="8" w:color="0000EE"/>
            </w:tcBorders>
            <w:gridSpan w:val="4"/>
          </w:tcPr>
          <w:p>
            <w:pPr>
              <w:ind w:left="20"/>
              <w:spacing w:after="0"/>
              <w:rPr>
                <w:sz w:val="20"/>
                <w:szCs w:val="20"/>
                <w:color w:val="auto"/>
              </w:rPr>
            </w:pPr>
            <w:r>
              <w:rPr>
                <w:rFonts w:ascii="Arial" w:cs="Arial" w:eastAsia="Arial" w:hAnsi="Arial"/>
                <w:sz w:val="18"/>
                <w:szCs w:val="18"/>
                <w:color w:val="0000EE"/>
                <w:w w:val="93"/>
              </w:rPr>
              <w:t>Rule 13a-14(a) Certification of Principal Accounting Officer</w:t>
            </w: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tcPr>
          <w:p>
            <w:pPr>
              <w:ind w:left="20"/>
              <w:spacing w:after="0"/>
              <w:rPr>
                <w:sz w:val="20"/>
                <w:szCs w:val="20"/>
                <w:color w:val="auto"/>
              </w:rPr>
            </w:pPr>
            <w:r>
              <w:rPr>
                <w:rFonts w:ascii="Arial" w:cs="Arial" w:eastAsia="Arial" w:hAnsi="Arial"/>
                <w:sz w:val="18"/>
                <w:szCs w:val="18"/>
                <w:color w:val="0000EE"/>
                <w:w w:val="93"/>
              </w:rPr>
              <w:t>Rule 1350 Certification of Chief Executive Officer</w:t>
            </w:r>
          </w:p>
        </w:tc>
        <w:tc>
          <w:tcPr>
            <w:tcW w:w="70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4380" w:type="dxa"/>
            <w:vAlign w:val="bottom"/>
            <w:gridSpan w:val="4"/>
          </w:tcPr>
          <w:p>
            <w:pPr>
              <w:ind w:left="20"/>
              <w:spacing w:after="0"/>
              <w:rPr>
                <w:sz w:val="20"/>
                <w:szCs w:val="20"/>
                <w:color w:val="auto"/>
              </w:rPr>
            </w:pPr>
            <w:r>
              <w:rPr>
                <w:rFonts w:ascii="Arial" w:cs="Arial" w:eastAsia="Arial" w:hAnsi="Arial"/>
                <w:sz w:val="18"/>
                <w:szCs w:val="18"/>
                <w:color w:val="0000EE"/>
              </w:rPr>
              <w:t>Rule 1350 Certification of Principal Accounting Officer</w:t>
            </w:r>
          </w:p>
        </w:tc>
      </w:tr>
      <w:tr>
        <w:trPr>
          <w:trHeight w:val="453"/>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4040" w:type="dxa"/>
            <w:vAlign w:val="bottom"/>
            <w:tcBorders>
              <w:top w:val="single" w:sz="8" w:color="0000EE"/>
            </w:tcBorders>
            <w:gridSpan w:val="3"/>
          </w:tcPr>
          <w:p>
            <w:pPr>
              <w:ind w:left="20"/>
              <w:spacing w:after="0"/>
              <w:rPr>
                <w:sz w:val="20"/>
                <w:szCs w:val="20"/>
                <w:color w:val="auto"/>
              </w:rPr>
            </w:pPr>
            <w:r>
              <w:rPr>
                <w:rFonts w:ascii="Arial" w:cs="Arial" w:eastAsia="Arial" w:hAnsi="Arial"/>
                <w:sz w:val="18"/>
                <w:szCs w:val="18"/>
                <w:color w:val="auto"/>
              </w:rPr>
              <w:t>Inline XBRL Instance Document</w:t>
            </w:r>
          </w:p>
        </w:tc>
        <w:tc>
          <w:tcPr>
            <w:tcW w:w="34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438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Schema</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4380" w:type="dxa"/>
            <w:vAlign w:val="bottom"/>
            <w:gridSpan w:val="4"/>
          </w:tcPr>
          <w:p>
            <w:pPr>
              <w:ind w:left="20"/>
              <w:spacing w:after="0"/>
              <w:rPr>
                <w:sz w:val="20"/>
                <w:szCs w:val="20"/>
                <w:color w:val="auto"/>
              </w:rPr>
            </w:pPr>
            <w:r>
              <w:rPr>
                <w:rFonts w:ascii="Arial" w:cs="Arial" w:eastAsia="Arial" w:hAnsi="Arial"/>
                <w:sz w:val="18"/>
                <w:szCs w:val="18"/>
                <w:color w:val="auto"/>
                <w:w w:val="98"/>
              </w:rPr>
              <w:t>Inline XBRL Taxonomy Extension Calculation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438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Definition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4380" w:type="dxa"/>
            <w:vAlign w:val="bottom"/>
            <w:gridSpan w:val="4"/>
          </w:tcPr>
          <w:p>
            <w:pPr>
              <w:ind w:left="20"/>
              <w:spacing w:after="0"/>
              <w:rPr>
                <w:sz w:val="20"/>
                <w:szCs w:val="20"/>
                <w:color w:val="auto"/>
              </w:rPr>
            </w:pPr>
            <w:r>
              <w:rPr>
                <w:rFonts w:ascii="Arial" w:cs="Arial" w:eastAsia="Arial" w:hAnsi="Arial"/>
                <w:sz w:val="18"/>
                <w:szCs w:val="18"/>
                <w:color w:val="auto"/>
              </w:rPr>
              <w:t>Inline XBRL Taxonomy Extension Label Linkbase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4380" w:type="dxa"/>
            <w:vAlign w:val="bottom"/>
            <w:gridSpan w:val="4"/>
          </w:tcPr>
          <w:p>
            <w:pPr>
              <w:ind w:left="20"/>
              <w:spacing w:after="0"/>
              <w:rPr>
                <w:sz w:val="20"/>
                <w:szCs w:val="20"/>
                <w:color w:val="auto"/>
              </w:rPr>
            </w:pPr>
            <w:r>
              <w:rPr>
                <w:rFonts w:ascii="Arial" w:cs="Arial" w:eastAsia="Arial" w:hAnsi="Arial"/>
                <w:sz w:val="18"/>
                <w:szCs w:val="18"/>
                <w:color w:val="auto"/>
                <w:w w:val="96"/>
              </w:rPr>
              <w:t>Inline XBRL Taxonomy Extension Presentation Linkbase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104</w:t>
      </w:r>
      <w:r>
        <w:rPr>
          <w:rFonts w:ascii="Arial" w:cs="Arial" w:eastAsia="Arial" w:hAnsi="Arial"/>
          <w:sz w:val="16"/>
          <w:szCs w:val="16"/>
          <w:color w:val="auto"/>
        </w:rPr>
        <w:t>Cover Page Interactive Data File (formatted as Inline XBRL and contained in Exhibit 101)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Certain schedules have been omitted pursuant to Item 601(a)(5) of Regulation S-K under the Securities Act. The Company agrees to furnish supplementally any omitted schedules to the Securities and Exchange Commission upon request.</w:t>
      </w:r>
    </w:p>
    <w:p>
      <w:pPr>
        <w:spacing w:after="0" w:line="3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220"/>
          </w:cols>
          <w:pgMar w:left="460" w:top="125" w:right="1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EE"/>
        </w:rPr>
        <w:t>Index</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INNOVATIVE FOOD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-10160</wp:posOffset>
            </wp:positionV>
            <wp:extent cx="21437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spacing w:after="0"/>
              <w:rPr>
                <w:sz w:val="20"/>
                <w:szCs w:val="20"/>
                <w:color w:val="auto"/>
              </w:rPr>
            </w:pPr>
          </w:p>
        </w:tc>
        <w:tc>
          <w:tcPr>
            <w:tcW w:w="38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Title</w:t>
            </w:r>
          </w:p>
        </w:tc>
        <w:tc>
          <w:tcPr>
            <w:tcW w:w="1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2760" w:type="dxa"/>
            <w:vAlign w:val="bottom"/>
          </w:tcPr>
          <w:p>
            <w:pPr>
              <w:spacing w:after="0"/>
              <w:rPr>
                <w:sz w:val="20"/>
                <w:szCs w:val="20"/>
                <w:color w:val="auto"/>
              </w:rPr>
            </w:pPr>
            <w:r>
              <w:rPr>
                <w:rFonts w:ascii="Arial" w:cs="Arial" w:eastAsia="Arial" w:hAnsi="Arial"/>
                <w:sz w:val="18"/>
                <w:szCs w:val="18"/>
                <w:color w:val="auto"/>
              </w:rPr>
              <w:t>/s/ Robert William Bennett</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Chief Executive Officer and 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William Bennett</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Richard Tang</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Chief Financial Officer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Tang</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(Principal Accounting Officer)</w:t>
            </w: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Hank Cohn</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Hank Cohn</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Joel Gold</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Joel Gold</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Jefferson Gramm</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Jefferson Gramm</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James C. Pappas</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C. Pappas</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David Polinsky</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Polinsky</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Mark Schmulen</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Schmulen</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Sam Klepfish</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Chairman</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Sam Klepfish</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418"/>
        </w:trPr>
        <w:tc>
          <w:tcPr>
            <w:tcW w:w="2760" w:type="dxa"/>
            <w:vAlign w:val="bottom"/>
          </w:tcPr>
          <w:p>
            <w:pPr>
              <w:spacing w:after="0"/>
              <w:rPr>
                <w:sz w:val="20"/>
                <w:szCs w:val="20"/>
                <w:color w:val="auto"/>
              </w:rPr>
            </w:pPr>
            <w:r>
              <w:rPr>
                <w:rFonts w:ascii="Arial" w:cs="Arial" w:eastAsia="Arial" w:hAnsi="Arial"/>
                <w:sz w:val="18"/>
                <w:szCs w:val="18"/>
                <w:color w:val="auto"/>
              </w:rPr>
              <w:t>/s/ Denver J. Smith</w:t>
            </w:r>
          </w:p>
        </w:tc>
        <w:tc>
          <w:tcPr>
            <w:tcW w:w="4920" w:type="dxa"/>
            <w:vAlign w:val="bottom"/>
            <w:gridSpan w:val="2"/>
          </w:tcPr>
          <w:p>
            <w:pPr>
              <w:ind w:left="1100"/>
              <w:spacing w:after="0"/>
              <w:rPr>
                <w:sz w:val="20"/>
                <w:szCs w:val="20"/>
                <w:color w:val="auto"/>
              </w:rPr>
            </w:pPr>
            <w:r>
              <w:rPr>
                <w:rFonts w:ascii="Arial" w:cs="Arial" w:eastAsia="Arial" w:hAnsi="Arial"/>
                <w:sz w:val="18"/>
                <w:szCs w:val="18"/>
                <w:color w:val="auto"/>
              </w:rPr>
              <w:t>Director</w:t>
            </w:r>
          </w:p>
        </w:tc>
        <w:tc>
          <w:tcPr>
            <w:tcW w:w="11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March 31, 2023</w:t>
            </w:r>
          </w:p>
        </w:tc>
      </w:tr>
      <w:tr>
        <w:trPr>
          <w:trHeight w:val="224"/>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Denver J. Smith</w:t>
            </w:r>
          </w:p>
        </w:tc>
        <w:tc>
          <w:tcPr>
            <w:tcW w:w="1100" w:type="dxa"/>
            <w:vAlign w:val="bottom"/>
          </w:tcPr>
          <w:p>
            <w:pPr>
              <w:spacing w:after="0"/>
              <w:rPr>
                <w:sz w:val="19"/>
                <w:szCs w:val="19"/>
                <w:color w:val="auto"/>
              </w:rPr>
            </w:pPr>
          </w:p>
        </w:tc>
        <w:tc>
          <w:tcPr>
            <w:tcW w:w="3820" w:type="dxa"/>
            <w:vAlign w:val="bottom"/>
            <w:tcBorders>
              <w:top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r>
      <w:tr>
        <w:trPr>
          <w:trHeight w:val="634"/>
        </w:trPr>
        <w:tc>
          <w:tcPr>
            <w:tcW w:w="2760" w:type="dxa"/>
            <w:vAlign w:val="bottom"/>
          </w:tcPr>
          <w:p>
            <w:pPr>
              <w:spacing w:after="0"/>
              <w:rPr>
                <w:sz w:val="24"/>
                <w:szCs w:val="24"/>
                <w:color w:val="auto"/>
              </w:rPr>
            </w:pPr>
          </w:p>
        </w:tc>
        <w:tc>
          <w:tcPr>
            <w:tcW w:w="4920" w:type="dxa"/>
            <w:vAlign w:val="bottom"/>
            <w:gridSpan w:val="2"/>
          </w:tcPr>
          <w:p>
            <w:pPr>
              <w:ind w:left="2640"/>
              <w:spacing w:after="0"/>
              <w:rPr>
                <w:sz w:val="20"/>
                <w:szCs w:val="20"/>
                <w:color w:val="auto"/>
              </w:rPr>
            </w:pPr>
            <w:r>
              <w:rPr>
                <w:rFonts w:ascii="Arial" w:cs="Arial" w:eastAsia="Arial" w:hAnsi="Arial"/>
                <w:sz w:val="18"/>
                <w:szCs w:val="18"/>
                <w:color w:val="auto"/>
              </w:rPr>
              <w:t>72</w:t>
            </w:r>
          </w:p>
        </w:tc>
        <w:tc>
          <w:tcPr>
            <w:tcW w:w="11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960"/>
          </w:cols>
          <w:pgMar w:left="460" w:top="125"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SCHEDULE OF SUBSIDIARIES</w:t>
      </w:r>
    </w:p>
    <w:p>
      <w:pPr>
        <w:sectPr>
          <w:pgSz w:w="11900" w:h="16838" w:orient="portrait"/>
          <w:cols w:equalWidth="0" w:num="1">
            <w:col w:w="10139"/>
          </w:cols>
          <w:pgMar w:left="320" w:top="337" w:right="1440"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Food Innovations,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Food New Media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 The Gourmet, Inc. (d/b/a/ For The Gourmet,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Gourmet Foodservice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Artisan Specialty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Haley Food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Gourmet Foodservice Group Warehouse,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Organic Food Brokers,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Gourmeting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Oasis Sales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Gourmet,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Logistics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Foods Innovations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 Foods,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PlantBelly,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Plant Innovations,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Foods,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Innovative Gourmet Partnerships, LLC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Colorado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w:t>
      </w:r>
    </w:p>
    <w:p>
      <w:pPr>
        <w:sectPr>
          <w:pgSz w:w="11900" w:h="16838" w:orient="portrait"/>
          <w:cols w:equalWidth="0" w:num="2">
            <w:col w:w="4460" w:space="720"/>
            <w:col w:w="4959"/>
          </w:cols>
          <w:pgMar w:left="320" w:top="337" w:right="1440"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William Bennett,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58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3">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 Chief Executive Officer</w:t>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Innovative Food Holdings, Inc. and Subsidiaries;</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5817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4">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 Chief Financial Officer</w:t>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Innovative Food Holdings, Inc. and Subsidiaries (the “Company”) on Form 10-K for the year ended December 31, 2022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Robert William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29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5">
                      <a:extLst>
                        <a:ext uri="{28A0092B-C50C-407E-A947-70E740481C1C}"/>
                      </a:extLst>
                    </a:blip>
                    <a:srcRect/>
                    <a:stretch>
                      <a:fillRect/>
                    </a:stretch>
                  </pic:blipFill>
                  <pic:spPr bwMode="auto">
                    <a:xfrm>
                      <a:off x="0" y="0"/>
                      <a:ext cx="18294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William Bennett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of Innovative Food Holdings, Inc. and Subsidiaries (the “Company”) on Form 10-K for the year ended December 31, 2022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4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674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6">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March 31, 2023</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lowerRoman"/>
      <w:start w:val="3"/>
    </w:lvl>
  </w:abstractNum>
  <w:abstractNum w:abstractNumId="11">
    <w:nsid w:val="2443A858"/>
    <w:multiLevelType w:val="hybridMultilevel"/>
    <w:lvl w:ilvl="0">
      <w:lvlJc w:val="left"/>
      <w:lvlText w:val="(%1)"/>
      <w:numFmt w:val="lowerLetter"/>
      <w:start w:val="6"/>
    </w:lvl>
  </w:abstractNum>
  <w:abstractNum w:abstractNumId="12">
    <w:nsid w:val="2D1D5AE9"/>
    <w:multiLevelType w:val="hybridMultilevel"/>
    <w:lvl w:ilvl="0">
      <w:lvlJc w:val="left"/>
      <w:lvlText w:val="(%1)"/>
      <w:numFmt w:val="lowerLetter"/>
      <w:start w:val="9"/>
    </w:lvl>
  </w:abstractNum>
  <w:abstractNum w:abstractNumId="13">
    <w:nsid w:val="6763845E"/>
    <w:multiLevelType w:val="hybridMultilevel"/>
    <w:lvl w:ilvl="0">
      <w:lvlJc w:val="left"/>
      <w:lvlText w:val="(%1)"/>
      <w:numFmt w:val="lowerLetter"/>
      <w:start w:val="35"/>
    </w:lvl>
  </w:abstractNum>
  <w:abstractNum w:abstractNumId="14">
    <w:nsid w:val="75A2A8D4"/>
    <w:multiLevelType w:val="hybridMultilevel"/>
    <w:lvl w:ilvl="0">
      <w:lvlJc w:val="left"/>
      <w:lvlText w:val="(%1)"/>
      <w:numFmt w:val="lowerLetter"/>
      <w:start w:val="6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decimal"/>
      <w:start w:val="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4"/>
    </w:lvl>
  </w:abstractNum>
  <w:abstractNum w:abstractNumId="21">
    <w:nsid w:val="71F32454"/>
    <w:multiLevelType w:val="hybridMultilevel"/>
    <w:lvl w:ilvl="0">
      <w:lvlJc w:val="left"/>
      <w:lvlText w:val="%1"/>
      <w:numFmt w:val="decimal"/>
      <w:start w:val="2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100" Type="http://schemas.openxmlformats.org/officeDocument/2006/relationships/image" Target="media/image63.png"/><Relationship Id="rId101" Type="http://schemas.openxmlformats.org/officeDocument/2006/relationships/image" Target="media/image64.png"/><Relationship Id="rId102" Type="http://schemas.openxmlformats.org/officeDocument/2006/relationships/image" Target="media/image65.png"/><Relationship Id="rId103" Type="http://schemas.openxmlformats.org/officeDocument/2006/relationships/image" Target="media/image66.png"/><Relationship Id="rId104" Type="http://schemas.openxmlformats.org/officeDocument/2006/relationships/image" Target="media/image67.png"/><Relationship Id="rId105" Type="http://schemas.openxmlformats.org/officeDocument/2006/relationships/image" Target="media/image68.png"/><Relationship Id="rId106" Type="http://schemas.openxmlformats.org/officeDocument/2006/relationships/image" Target="media/image69.png"/><Relationship Id="rId70" Type="http://schemas.openxmlformats.org/officeDocument/2006/relationships/hyperlink" Target="http://www.sec.gov/Archives/edgar/data/312257/000114420405030172/v025859_ex3-1.htm" TargetMode="External"/><Relationship Id="rId71" Type="http://schemas.openxmlformats.org/officeDocument/2006/relationships/hyperlink" Target="http://www.sec.gov/Archives/edgar/data/312257/000118518511000325/ex3-2.htm" TargetMode="External"/><Relationship Id="rId72" Type="http://schemas.openxmlformats.org/officeDocument/2006/relationships/hyperlink" Target="http://www.sec.gov/Archives/edgar/data/312257/000118518518000100/ex3-ii.htm" TargetMode="External"/><Relationship Id="rId73" Type="http://schemas.openxmlformats.org/officeDocument/2006/relationships/hyperlink" Target="http://www.sec.gov/Archives/edgar/data/312257/000118518512002655/ex10-1.htm" TargetMode="External"/><Relationship Id="rId74" Type="http://schemas.openxmlformats.org/officeDocument/2006/relationships/hyperlink" Target="http://www.sec.gov/Archives/edgar/data/312257/000118518512002655/ex10-2.htm" TargetMode="External"/><Relationship Id="rId75" Type="http://schemas.openxmlformats.org/officeDocument/2006/relationships/hyperlink" Target="http://www.sec.gov/Archives/edgar/data/312257/000118518513000490/ex10-1.htm" TargetMode="External"/><Relationship Id="rId76" Type="http://schemas.openxmlformats.org/officeDocument/2006/relationships/hyperlink" Target="http://www.sec.gov/Archives/edgar/data/312257/000118518513000490/ex10-2.htm" TargetMode="External"/><Relationship Id="rId77" Type="http://schemas.openxmlformats.org/officeDocument/2006/relationships/hyperlink" Target="http://www.sec.gov/Archives/edgar/data/312257/000118518513000490/ex10-3.htm" TargetMode="External"/><Relationship Id="rId78" Type="http://schemas.openxmlformats.org/officeDocument/2006/relationships/hyperlink" Target="http://www.sec.gov/Archives/edgar/data/312257/000118518513000490/ex10-4.htm" TargetMode="External"/><Relationship Id="rId79" Type="http://schemas.openxmlformats.org/officeDocument/2006/relationships/hyperlink" Target="http://www.sec.gov/Archives/edgar/data/312257/000118518517000701/ex10-24.htm" TargetMode="External"/><Relationship Id="rId80" Type="http://schemas.openxmlformats.org/officeDocument/2006/relationships/hyperlink" Target="http://www.sec.gov/Archives/edgar/data/312257/000118518517000701/ex10-25.htm" TargetMode="External"/><Relationship Id="rId81" Type="http://schemas.openxmlformats.org/officeDocument/2006/relationships/hyperlink" Target="http://www.sec.gov/Archives/edgar/data/312257/000118518518000131/ex10-1.htm" TargetMode="External"/><Relationship Id="rId82" Type="http://schemas.openxmlformats.org/officeDocument/2006/relationships/hyperlink" Target="http://www.sec.gov/Archives/edgar/data/312257/000118518518000131/ex10-2.htm" TargetMode="External"/><Relationship Id="rId83" Type="http://schemas.openxmlformats.org/officeDocument/2006/relationships/hyperlink" Target="http://www.sec.gov/Archives/edgar/data/312257/000118518518000523/ex10-28.htm" TargetMode="External"/><Relationship Id="rId84" Type="http://schemas.openxmlformats.org/officeDocument/2006/relationships/hyperlink" Target="http://www.sec.gov/Archives/edgar/data/312257/000118518518000523/ex10-29.htm" TargetMode="External"/><Relationship Id="rId85" Type="http://schemas.openxmlformats.org/officeDocument/2006/relationships/hyperlink" Target="http://www.sec.gov/Archives/edgar/data/312257/000118518518000523/ex10-30.htm" TargetMode="External"/><Relationship Id="rId86" Type="http://schemas.openxmlformats.org/officeDocument/2006/relationships/hyperlink" Target="http://www.sec.gov/Archives/edgar/data/312257/000118518518000523/ex10-31.htm" TargetMode="External"/><Relationship Id="rId87" Type="http://schemas.openxmlformats.org/officeDocument/2006/relationships/hyperlink" Target="http://www.sec.gov/Archives/edgar/data/312257/000118518519000138/ex_133864.htm" TargetMode="External"/><Relationship Id="rId88" Type="http://schemas.openxmlformats.org/officeDocument/2006/relationships/hyperlink" Target="http://www.sec.gov/Archives/edgar/data/312257/000118518519000138/ex_133865.htm" TargetMode="External"/><Relationship Id="rId89" Type="http://schemas.openxmlformats.org/officeDocument/2006/relationships/hyperlink" Target="http://www.sec.gov/Archives/edgar/data/312257/000118518519000138/ex_133866.htm" TargetMode="External"/><Relationship Id="rId90" Type="http://schemas.openxmlformats.org/officeDocument/2006/relationships/hyperlink" Target="http://www.sec.gov/Archives/edgar/data/312257/000118518519001610/ex_164754.htm" TargetMode="External"/><Relationship Id="rId91" Type="http://schemas.openxmlformats.org/officeDocument/2006/relationships/hyperlink" Target="http://www.sec.gov/Archives/edgar/data/312257/000118518519001610/ex_164951.htm" TargetMode="External"/><Relationship Id="rId92" Type="http://schemas.openxmlformats.org/officeDocument/2006/relationships/hyperlink" Target="http://www.sec.gov/Archives/edgar/data/312257/000118518519001610/ex_164952.htm" TargetMode="External"/><Relationship Id="rId93" Type="http://schemas.openxmlformats.org/officeDocument/2006/relationships/hyperlink" Target="http://www.sec.gov/Archives/edgar/data/312257/000118518519001152/ex_155331.htm" TargetMode="External"/><Relationship Id="rId94" Type="http://schemas.openxmlformats.org/officeDocument/2006/relationships/hyperlink" Target="http://www.sec.gov/Archives/edgar/data/312257/000118518521001227/ex_280161.htm" TargetMode="External"/><Relationship Id="rId95" Type="http://schemas.openxmlformats.org/officeDocument/2006/relationships/hyperlink" Target="http://www.sec.gov/Archives/edgar/data/312257/000118518522000739/ex_386812.htm" TargetMode="External"/><Relationship Id="rId96" Type="http://schemas.openxmlformats.org/officeDocument/2006/relationships/hyperlink" Target="http://www.sec.gov/Archives/edgar/data/312257/000118518522000739/ex_386652.htm" TargetMode="External"/><Relationship Id="rId97" Type="http://schemas.openxmlformats.org/officeDocument/2006/relationships/hyperlink" Target="http://www.sec.gov/Archives/edgar/data/312257/000118518522000739/ex_386700.htm" TargetMode="External"/><Relationship Id="rId98" Type="http://schemas.openxmlformats.org/officeDocument/2006/relationships/hyperlink" Target="http://www.sec.gov/Archives/edgar/data/312257/000118518522001363/ex_451196.htm" TargetMode="External"/><Relationship Id="rId99" Type="http://schemas.openxmlformats.org/officeDocument/2006/relationships/hyperlink" Target="http://www.sec.gov/Archives/edgar/data/312257/000118518508000587/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2023-03-31T13:01:37Z</dcterms:created>
  <dcterms:modified xsi:type="dcterms:W3CDTF">2023-03-31T13:01:37Z</dcterms:modified>
</cp:coreProperties>
</file>