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left="4760" w:right="1160" w:hanging="3583"/>
        <w:spacing w:after="0" w:line="286" w:lineRule="auto"/>
        <w:tabs>
          <w:tab w:leader="none" w:pos="138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u w:val="single" w:color="auto"/>
          <w:color w:val="auto"/>
        </w:rPr>
        <w:t>December 31, 2023</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920" w:right="2000" w:hanging="1910"/>
        <w:spacing w:after="0" w:line="537" w:lineRule="auto"/>
        <w:tabs>
          <w:tab w:leader="none" w:pos="22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u w:val="single" w:color="auto"/>
          <w:color w:val="auto"/>
        </w:rPr>
        <w:t>0-9376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-161925</wp:posOffset>
            </wp:positionV>
            <wp:extent cx="152590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INNOVATIVE FOOD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9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6"/>
              </w:rPr>
              <w:t>20-1167761</w:t>
            </w:r>
          </w:p>
        </w:tc>
      </w:tr>
      <w:tr>
        <w:trPr>
          <w:trHeight w:val="20"/>
        </w:trPr>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9696 Bonita Beach Rd., Ste. 208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Bonita Springs, Florida 34135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(239) 596-0204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316865</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1" w:right="47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553" w:right="479" w:bottom="1440" w:gutter="0" w:footer="0" w:header="0"/>
        </w:sectPr>
      </w:pPr>
    </w:p>
    <w:p>
      <w:pPr>
        <w:spacing w:after="0" w:line="13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3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1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sectPr>
          <w:pgSz w:w="11900" w:h="16838" w:orient="portrait"/>
          <w:cols w:equalWidth="0" w:num="2">
            <w:col w:w="4740" w:space="720"/>
            <w:col w:w="5500"/>
          </w:cols>
          <w:pgMar w:left="460" w:top="553" w:right="479" w:bottom="1440" w:gutter="0" w:footer="0" w:header="0"/>
          <w:type w:val="continuous"/>
        </w:sect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was approximately $6,009,221 as of June 30, 2023, based upon a closing price of $0.38 per share for the registrant’s common stock on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18, 2024, a total of 49,714,929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gridSpan w:val="10"/>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INNOVATIVE FOOD HOLDINGS, INC.</w:t>
            </w:r>
          </w:p>
        </w:tc>
        <w:tc>
          <w:tcPr>
            <w:tcW w:w="96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1"/>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96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2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708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260" w:type="dxa"/>
            <w:vAlign w:val="bottom"/>
            <w:tcBorders>
              <w:top w:val="single" w:sz="8" w:color="0000EE"/>
            </w:tcBorders>
            <w:gridSpan w:val="3"/>
          </w:tcPr>
          <w:p>
            <w:pPr>
              <w:spacing w:after="0"/>
              <w:rPr>
                <w:sz w:val="17"/>
                <w:szCs w:val="17"/>
                <w:color w:val="auto"/>
              </w:rPr>
            </w:pPr>
          </w:p>
        </w:tc>
        <w:tc>
          <w:tcPr>
            <w:tcW w:w="8120" w:type="dxa"/>
            <w:vAlign w:val="bottom"/>
            <w:gridSpan w:val="1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78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2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96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440" w:type="dxa"/>
            <w:vAlign w:val="bottom"/>
            <w:gridSpan w:val="2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60" w:type="dxa"/>
            <w:vAlign w:val="bottom"/>
            <w:gridSpan w:val="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 (PCAOB ID Number 5036)</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62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736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Disclosures Regarding Foreign Jurisdictions That Prevent Inspections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100" w:type="dxa"/>
            <w:vAlign w:val="bottom"/>
            <w:gridSpan w:val="7"/>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02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82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66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96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Exhibits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360" w:type="dxa"/>
            <w:vAlign w:val="bottom"/>
            <w:gridSpan w:val="1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554"/>
        </w:trPr>
        <w:tc>
          <w:tcPr>
            <w:tcW w:w="8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549"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PROVE INACCURATE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or may contain, certain “forward-looking statements” within the meaning of the Private Securities Litigation Reform Act of 1995. Such forward-looking statements involve significant risks and uncertainties. Such statements may include, without limitation, statements with respect to the Company’s plans, objectives, projections, expectations and intentions and other statements identified by words such as “may,” “will,” “could,” “would,” “should,” “believes,” “expects,” “anticipates,” “estimates,” “intends,” “plans,” “potential” or similar expressions. These statements are based upon the current beliefs and expectations of the Company’s management and do not constitute guarantees of future performance. Actual results could differ materially from those contained in the forward-looking statements and are subject to significant risks and uncertainties, including those discussed under “Risk Factors,” as well as those discussed elsewhere in this Form 10-K. Actual results may differ significantly from those set forth in the forward-looking statements. These forward-looking statements involve risks and uncertainties that are subject to change based on various factors (many of which are beyond the Company’s control).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further cautioned not to place undue reliance on these forward-looking statements, which speak only as of the date of this Form 10-K or, in the case of documents referred to or incorporated by reference, the date of those documents.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Form 10-K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“we,” “us,” “our,” “our company,” “IVFH”, or similar terminology refer to Innovative Food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49"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Innovative Food Holdings (IVFH) builds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IVFH team is adept at evaluating and certifying the food safety and supply chain capabilities of small batch producers who don’t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Between this variety of sales channels, IVFH is able to serve our Professional Chef customers wherever they are located.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service our customers from two warehouses: a 200K square foot facility in Mountain Top, Pennsylvania (an important industry distribution hub for the Northeast), and a 28K square foot facility in the greater Chicago area. We have the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These warehouses have the ability to ship packages and pallets of all sizes through overnight shipping. We also leverage our own fleet of trucks to deliver directly to our Professional Chef customers within our reach.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Chef Advisors, as ex-chefs themselves, go beyond customer service to offer our Professional Chefs customer support, menu ideas, and preparation guidance.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distribute over 7,000 perishable and specialty food and food related products, including origin-specific seafood, domestic and imported meats, exotic game and poultry, artisanal cheeses, freshly prepared meals, caviar, wild and cultivated mushrooms, micro-greens, organic farmed and manufactured food products, estate-bottled olive oils and aged vinegars and expertly curated food gift baskets, gift boxes and a full of line of food subscription based offerings. Products are sold under the brand of the respective vendor and are also offered under a variety of Company owned brands. In addition, we offer a line of niche specialty healthcare related products. On a regular basis we add additional products including new products from small batch makers and other unique specialty food products. We offer our nationwide customers access to the best food products available from around the world, quickly, most direct, and cost-effectively.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items we sell include:</w:t>
      </w:r>
    </w:p>
    <w:p>
      <w:pPr>
        <w:spacing w:after="0" w:line="221" w:lineRule="exact"/>
        <w:rPr>
          <w:sz w:val="20"/>
          <w:szCs w:val="20"/>
          <w:color w:val="auto"/>
        </w:rPr>
      </w:pPr>
    </w:p>
    <w:p>
      <w:pPr>
        <w:ind w:left="540" w:hanging="537"/>
        <w:spacing w:after="0" w:line="28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Seafood </w:t>
      </w:r>
      <w:r>
        <w:rPr>
          <w:rFonts w:ascii="Times New Roman" w:cs="Times New Roman" w:eastAsia="Times New Roman" w:hAnsi="Times New Roman"/>
          <w:sz w:val="18"/>
          <w:szCs w:val="18"/>
          <w:color w:val="auto"/>
        </w:rPr>
        <w:t>- Alaskan wild king salmon, Hawaiian sashimi-grade ahi tuna, Gulf of Mexico day-boat snapper, Chesapeake Bay soft shell crabs,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England live lobsters, Japanese Hamachi</w:t>
      </w:r>
    </w:p>
    <w:p>
      <w:pPr>
        <w:spacing w:after="0" w:line="154" w:lineRule="exact"/>
        <w:rPr>
          <w:rFonts w:ascii="Times New Roman" w:cs="Times New Roman" w:eastAsia="Times New Roman" w:hAnsi="Times New Roman"/>
          <w:sz w:val="18"/>
          <w:szCs w:val="18"/>
          <w:color w:val="auto"/>
        </w:rPr>
      </w:pPr>
    </w:p>
    <w:p>
      <w:pPr>
        <w:ind w:left="540" w:hanging="537"/>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Meat &amp; Game </w:t>
      </w:r>
      <w:r>
        <w:rPr>
          <w:rFonts w:ascii="Times New Roman" w:cs="Times New Roman" w:eastAsia="Times New Roman" w:hAnsi="Times New Roman"/>
          <w:sz w:val="18"/>
          <w:szCs w:val="18"/>
          <w:color w:val="auto"/>
        </w:rPr>
        <w:t>- Prime rib of American kurobuta pork, dry-aged buffalo tenderloin, domestic lamb, Cervena venison, elk tenderloin</w:t>
      </w:r>
    </w:p>
    <w:p>
      <w:pPr>
        <w:spacing w:after="0" w:line="225" w:lineRule="exact"/>
        <w:rPr>
          <w:rFonts w:ascii="Times New Roman" w:cs="Times New Roman" w:eastAsia="Times New Roman" w:hAnsi="Times New Roman"/>
          <w:sz w:val="18"/>
          <w:szCs w:val="18"/>
          <w:color w:val="auto"/>
        </w:rPr>
      </w:pPr>
    </w:p>
    <w:p>
      <w:pPr>
        <w:ind w:left="540" w:hanging="537"/>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Produce </w:t>
      </w:r>
      <w:r>
        <w:rPr>
          <w:rFonts w:ascii="Times New Roman" w:cs="Times New Roman" w:eastAsia="Times New Roman" w:hAnsi="Times New Roman"/>
          <w:sz w:val="18"/>
          <w:szCs w:val="18"/>
          <w:color w:val="auto"/>
        </w:rPr>
        <w:t>- White asparagus, baby carrot tri-color mix, Oregon wild ramps, heirloom tomatoes</w:t>
      </w:r>
    </w:p>
    <w:p>
      <w:pPr>
        <w:spacing w:after="0" w:line="225" w:lineRule="exact"/>
        <w:rPr>
          <w:rFonts w:ascii="Times New Roman" w:cs="Times New Roman" w:eastAsia="Times New Roman" w:hAnsi="Times New Roman"/>
          <w:sz w:val="18"/>
          <w:szCs w:val="18"/>
          <w:color w:val="auto"/>
        </w:rPr>
      </w:pPr>
    </w:p>
    <w:p>
      <w:pPr>
        <w:ind w:left="540" w:hanging="537"/>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Poultry </w:t>
      </w:r>
      <w:r>
        <w:rPr>
          <w:rFonts w:ascii="Times New Roman" w:cs="Times New Roman" w:eastAsia="Times New Roman" w:hAnsi="Times New Roman"/>
          <w:sz w:val="18"/>
          <w:szCs w:val="18"/>
          <w:color w:val="auto"/>
        </w:rPr>
        <w:t>- Grade A foie gras, Hudson Valley quail, free range and organic chicken, airline breast of pheasant</w:t>
      </w:r>
    </w:p>
    <w:p>
      <w:pPr>
        <w:spacing w:after="0" w:line="225" w:lineRule="exact"/>
        <w:rPr>
          <w:rFonts w:ascii="Times New Roman" w:cs="Times New Roman" w:eastAsia="Times New Roman" w:hAnsi="Times New Roman"/>
          <w:sz w:val="18"/>
          <w:szCs w:val="18"/>
          <w:color w:val="auto"/>
        </w:rPr>
      </w:pPr>
    </w:p>
    <w:p>
      <w:pPr>
        <w:ind w:left="540" w:hanging="537"/>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Specialty </w:t>
      </w:r>
      <w:r>
        <w:rPr>
          <w:rFonts w:ascii="Times New Roman" w:cs="Times New Roman" w:eastAsia="Times New Roman" w:hAnsi="Times New Roman"/>
          <w:sz w:val="18"/>
          <w:szCs w:val="18"/>
          <w:color w:val="auto"/>
        </w:rPr>
        <w:t>- Truffle oils, fennel pollen, prosciutto di Parma, wild boar sausage</w:t>
      </w:r>
    </w:p>
    <w:p>
      <w:pPr>
        <w:spacing w:after="0" w:line="225" w:lineRule="exact"/>
        <w:rPr>
          <w:rFonts w:ascii="Times New Roman" w:cs="Times New Roman" w:eastAsia="Times New Roman" w:hAnsi="Times New Roman"/>
          <w:sz w:val="18"/>
          <w:szCs w:val="18"/>
          <w:color w:val="auto"/>
        </w:rPr>
      </w:pPr>
    </w:p>
    <w:p>
      <w:pPr>
        <w:ind w:left="540" w:hanging="537"/>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Mushrooms - </w:t>
      </w:r>
      <w:r>
        <w:rPr>
          <w:rFonts w:ascii="Times New Roman" w:cs="Times New Roman" w:eastAsia="Times New Roman" w:hAnsi="Times New Roman"/>
          <w:sz w:val="18"/>
          <w:szCs w:val="18"/>
          <w:color w:val="auto"/>
        </w:rPr>
        <w:t>Fresh morels, Trumpet Royale, porcini powder, wild golden chanterelles</w:t>
      </w:r>
    </w:p>
    <w:p>
      <w:pPr>
        <w:spacing w:after="0" w:line="225" w:lineRule="exact"/>
        <w:rPr>
          <w:rFonts w:ascii="Times New Roman" w:cs="Times New Roman" w:eastAsia="Times New Roman" w:hAnsi="Times New Roman"/>
          <w:sz w:val="18"/>
          <w:szCs w:val="18"/>
          <w:color w:val="auto"/>
        </w:rPr>
      </w:pPr>
    </w:p>
    <w:p>
      <w:pPr>
        <w:ind w:left="540" w:hanging="537"/>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Cheese - </w:t>
      </w:r>
      <w:r>
        <w:rPr>
          <w:rFonts w:ascii="Times New Roman" w:cs="Times New Roman" w:eastAsia="Times New Roman" w:hAnsi="Times New Roman"/>
          <w:sz w:val="18"/>
          <w:szCs w:val="18"/>
          <w:color w:val="auto"/>
        </w:rPr>
        <w:t>Maytag blue, buffalo mozzarella, Spanish manchego, Italian gorgonzola dolce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 and Logistics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foodservice focused, live chef-driven customer service department is generally available by telephone, email, and on social media platforms. The customer service departments are made up of a team of chefs and culinary experts who are experienced in all aspects of perishable and specialty products. By employing chefs and culinary experts to handle customer service, we are able to provide our customers with extensive information about our products, including:</w:t>
      </w:r>
    </w:p>
    <w:p>
      <w:pPr>
        <w:spacing w:after="0" w:line="180" w:lineRule="exact"/>
        <w:rPr>
          <w:sz w:val="20"/>
          <w:szCs w:val="20"/>
          <w:color w:val="auto"/>
        </w:rPr>
      </w:pPr>
    </w:p>
    <w:p>
      <w:pPr>
        <w:ind w:left="460" w:hanging="45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Flavor profile and ingredient qualities</w:t>
      </w:r>
    </w:p>
    <w:p>
      <w:pPr>
        <w:spacing w:after="0" w:line="225" w:lineRule="exact"/>
        <w:rPr>
          <w:rFonts w:ascii="Times New Roman" w:cs="Times New Roman" w:eastAsia="Times New Roman" w:hAnsi="Times New Roman"/>
          <w:sz w:val="18"/>
          <w:szCs w:val="18"/>
          <w:color w:val="auto"/>
        </w:rPr>
      </w:pPr>
    </w:p>
    <w:p>
      <w:pPr>
        <w:ind w:left="460" w:hanging="45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Recipe and usage ideas</w:t>
      </w:r>
    </w:p>
    <w:p>
      <w:pPr>
        <w:spacing w:after="0" w:line="225" w:lineRule="exact"/>
        <w:rPr>
          <w:rFonts w:ascii="Times New Roman" w:cs="Times New Roman" w:eastAsia="Times New Roman" w:hAnsi="Times New Roman"/>
          <w:sz w:val="18"/>
          <w:szCs w:val="18"/>
          <w:color w:val="auto"/>
        </w:rPr>
      </w:pPr>
    </w:p>
    <w:p>
      <w:pPr>
        <w:ind w:left="460" w:hanging="45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 seasonality, and availability</w:t>
      </w:r>
    </w:p>
    <w:p>
      <w:pPr>
        <w:spacing w:after="0" w:line="225" w:lineRule="exact"/>
        <w:rPr>
          <w:rFonts w:ascii="Times New Roman" w:cs="Times New Roman" w:eastAsia="Times New Roman" w:hAnsi="Times New Roman"/>
          <w:sz w:val="18"/>
          <w:szCs w:val="18"/>
          <w:color w:val="auto"/>
        </w:rPr>
      </w:pPr>
    </w:p>
    <w:p>
      <w:pPr>
        <w:ind w:left="460" w:hanging="45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 utilization ideas and complementary uses of products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logistics team manages the shipping and delivery process of every package to ensure timely delivery of products to our customers. We have developed the web-based capability to allow customers to seamlessly receive and send personal orders and gifts according to their desired schedule. The logistics manager receives shipping information on all products ordered, and packages are monitored from origin to delivery. In the event that delivery service is interrupted, our logistics department begins the process of expediting the package to its destination or potentially reshipping the package with a goal of 100% customer satisfaction for our customers. Our logistics manager works directly with our suppliers on an ongoing basis, to ensure that the appropriate packaging and shipping specifications are in place at all times.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U.S. Foods</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have historically sold the majority of our products, $34,070,052 and $39,531,207, respectively, representing 47% and 49% of total sales, respectively, in each of the years ended December 31, 2023 and 2022, through a distributor relationship between FII, one of our wholly-owned subsidiaries, and subsidiaries of U.S. Foods, a leading broadline distributor. On January 26, 2015 we executed a contract directly between FII and U.S. Foods (the “U.S. Foods Agreement”). The term of the U.S. Foods Agreement was from January 1, 2015 through December 31, 2016 and provided for a limited number of automatic annual renewals thereafter if no party gives the other 30 days’ notice of its intent not to renew. Based on the terms, the U.S. Foods Agreement was extended through December 31, 2018. Effective January 1, 2018 the U.S. Foods Agreement was further amended to remove the cap on renewals, and provide for an unlimited number of additional 12-month terms unless either party notifies the other in writing, 30 days prior to the end date, of its intent not to renew.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 term strategy is still taking shape, but there are three clear elements at this point in our evolution to a profitable, growing business model.</w:t>
      </w:r>
    </w:p>
    <w:p>
      <w:pPr>
        <w:spacing w:after="0" w:line="2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First, at our heart, we focused on growing a direct-to-chef specialty foodservice platform. It's a straightforward business, generates strong cash flow, and has great growth potential. In contrast, direct-to-consumer e-commerce is not a business we will focus on. We are in the process of ramping it down, and any remaining business will focus only on items we already carry in our foodservice channels, and which we can sell profitably, with no capital.</w:t>
      </w:r>
    </w:p>
    <w:p>
      <w:pPr>
        <w:spacing w:after="0" w:line="1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Second, our core drop ship business (where we don't touch the inventory) needs to diversify with more partners and into additional sales channels. We have a strong relationship with US Foods, but the company will benefit from having additional large partners. We have started this journey with the $10 million business we've built with Gate Gourmet. Other areas of focus include onboarding additional broadline distributors, additional airline caterers, Club channel partners, Amazon.com, etc. Sales channel diversification will continue to be a focus for us.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Third, our specialty food distribution business (where we own the inventory, warehouses, and trucks) has opportunity for growth. Today, this business is called Artisan Specialty Foods, and only serves Chicago. It has doubled in size since we purchased it a decade ago, and done so with very little incremental investment. Growth opportunities in specialty distribution exist both in Chicago through category and customer expansion, as well as through M&amp;A in new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While we face intense competition in the marketing of our products and services, it is our belief that there are few companies offering a platform similar to ours, offering a broad range of unique, high quality, chef driven specialty products, for nationwide delivery as soon as the next day. Our primary competition is from local purveyors that supply a limited local market and have a limited range of products. In addition, many purveyors are well established, have reputations for success in the development and marketing of these types of products and services and have significantly greater financial, marketing, distribution, personnel and other resources. These financial and other capabilities permit such companies to implement extensive advertising and promotional campaigns, both generally and in response to efforts by additional competitors such as us, to enter into new markets and introduce new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maintain a Business Owners Policy with a general liability per occurrence limit of $1,000,000 and aggregate policy covering $2,000,000 of liability for all entities. The Company carries an Auto Policy with non-owned automobile bodily injury and property damage coverage with a limit of $1,000,000 for all entities. The Company also carries an Umbrella policy of up to $14,000,000 which covers all entities, along with two excess umbrella policies that sit over the BOP and Umbrella policies. The excess umbrella policies have limits of $5,000,000 and $6,000,000. The Company carries a Cyber policy of up to $2,000,000 which insures the Company and its subsidiaries. The Company carries two Commercial Property Policies, for its buildings in PA and FL, with a limit of up to $12,490,000 for PA and a limit of up to $1,630,000 for FL. Such insurance may not be sufficient to cover all potential claims against us and additional insurance may not be available in the future at a reasonable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Various federal and state laws currently exist, and more are sure to be adopted, regulating the delivery of fresh food products. We require specialty foodservice third-party vendors to certify that they maintain at least $3,000,000 liability insurance coverage in aggregate and compliance with Hazard Analysis and Critical Control Point (HACCP), an FDA- and USDA-mandated food safety program, or a similar standard. Any changes in the government regulation of delivering of fresh food products that hinders our current ability and/or cost to deliver fresh products, could adversely impact our net revenues and gross margins and, therefore, our profitability and cash flows could also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employ 92 full-time employees, including 8 chefs and 3 executive officers. Our employee base has reduced with the sale of non-core business operations and the decision to ramp down our direct-to-customer operations. We believe that our relations with our employees are satisfactory. None of our employees are represented by a union.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Major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(1) following our discussion of Liquidity and Capital Resources, (2) Under the heading Major Customer in Note 18 to the Consolidated Financial Statements, (3) in Business – Relationship with U.S. Foods, (4) as the third item under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Contact 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9696 Bonita Beach Rd., Ste. 208, Bonita Springs, Florida 34135; our Internet address is www.ivfh.com; and our telephone number is (239) 596-0204. The contents of our website are not incorporated in or deemed to be a part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face risks related to health epidemics and other widespread outbreaks of contagious disease, which could significantly disrupt our sales and supply chain and impact our operating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outbreaks of contagious diseases, and other adverse public health developments, could have a material impact on our business operations and operating results. In December 2019, a strain of novel coronavirus (COVID-19) causing respiratory illness and death emerged in the city of Wuhan in the Hubei province of China. The coronavirus was declared a global pandemic by the World Health Organization and spread throughout the world, including the United States, resulting in emergency measures such as travel bans, closure of retail stores, and restrictions on gatherings of more than a maximum number of people. Included in these emergency measures is the mandated full or partial closure of restaurants and other foodservice establishments across the United States. These foodservice establishments represent a significant portion of our revenues and their continued closure and/or operation with capacity limits would likely continue to have a detrimental effect on our business.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believe the risks associated with COVID-19 have significantly diminished during the year ended December 31, 2023. However, the risk of future contagious disease outbreaks remains a significant risk factor for us which could result in economic turmoil. Should a recession occur, either as a result of a pandemic, lack of stability, armed conflicts in various countries or for any other reason, we can expect that our sales, net income and cash flows will be negatively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Requiring Us to Seek Additional Sources of Capital.</w:t>
      </w: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2023, we had an accumulated deficit of $38,821,278. We cannot assure you that we can achieve profitability on a quarterly or annual basis in the future. If revenues grow more slowly than we anticipate, or if operating expenses exceed our expectations or cannot be adjusted accordingly, or other extraordinary events occur, we will incur losses. Our possible success is dependent upon the successful development and marketing of our services and products, as well as continued expansion of our products and customers, as to which we can give no assurance. Any future success that we might enjoy will depend upon many factors, including factors out of our control or which cannot be predicted at this time. These factors may include changes in or increased levels of competition, including the entry of additional competitors and increased success by existing competitors, changes in general economic conditions, increases in operating costs, including costs of supplies, personnel, marketing and promotions, reduced margins caused by competitive pressures and other economic and non-economic factors. These conditions may have a materially adverse effect upon us or may force us to curtail operations. In addition, we could require additional funds to sustain and expand our sales and marketing activities, particularly if a well-financed competitor emerges. We can give no assurance that financing will be available in amounts or on terms acceptable to us, if at all. Our inability in such instance to obtain sufficient funds from our operations or external sources could require us to curtail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Historically Derived Substantially Most of Our Revenue From One Client and if We Were to Lose Such Client and Be Unable to Generate New Sales to Offset Such Loss, We May Be Forced to Cease or Curtail Our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2003, Next Day Gourmet initially contracted with our subsidiary, Food Innovations, to handle the distribution of over 3,000 perishable and specialty food products to customers of USF. Effective January 1, 2018, we executed a contract amendment between Food Innovations, Inc., our wholly owned subsidiary, and U.S. Foods which provides for no limit on automatic annual renewals thereafter if no party gives the other 30 days’ notice of its intent not to renew. Our sales through USF’s sales force generated gross revenues for us of $34,070,052 in the year ended December 31, 2023, and $39,531,207 in the year ended December 31, 2022. Those amounts contributed 47% and 49% of our total sales for each of 2023 and 2022, respectively. Our sales efforts within specialty foodservice are for the most part substantially dependent upon the efforts of the USF sales force. Although we have generated revenues from additional customers other than USF, if our relationship with USF were to be materially changed and we are unable to generate substantial new sales to offset such loss, we may be forced to significantly curtail our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Variety of Factors, Including Seasonality and the Economic Environment, May Cause Our Quarterly Operating Results to Fluctuate, Leading to Volatility in Our Stock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quarterly results have fluctuated in the past and may fluctuate in the future, depending upon a variety of factors, including changes in economic conditions, including both COVID-19 related and non-related conditions, and shifts in the timing of holiday related purchases. While our annual sales have always had a significant seasonal aspect, this has increased with our acquisition of substantially all of the assets of igourmet LLC and Mouth Foods, Inc, as further described below. As a result of the seasonal nature of our business, we would be significantly and adversely affected, in a manner disproportionate to the impact on a company with sales spread more evenly throughout the year, by unforeseen events such as a terrorist attack or economic shock (including shock caused by world-wide pandemic or otherwise) that harm the retail environment or consumer buying patterns during our key selling season, or by events such as pandemic, strikes or weather related delays that interfere with the shipment of goods, during the critical period of the holiday season.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Availability of our Bank Loans Could Adversely Impact our Business and Financial Condition.</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currently have multiple loans with MapleMark Bank. All of these contain cross-default provisions which means that all outstanding borrowings can be accelerated and can become immediately due and payable in the event of a default in any of such loans, which includes, among other things, failure to comply with certain financial covenants or breach of representations contained in the loan documents, defaults under other loans or obligations or involvement in bankruptcy proceedings (as such terms are defined in the loan documents). We are also subject to negative covenants which, during the life of the loans, prohibit and/or limit us from, among other things, incurring certain types of other debt, acquiring other companies, making certain expenditures or investments, and changing the character of our business. Any material change to the business and economic landscape negatively impacting our business, including among other things, an outbreak of infectious disease, a pandemic or a similar public health threat, such as the COVID-19 outbreak, or bank failures, inflation, recession, or other significant economic turmoil, could adversely impact our ability to comply with such covenants. Our failure to comply with such covenants or any other breach of the loan documents could cause a default and we may then be required to repay all of such borrowings with capital from other sources. Under these circumstances, other sources of capital may not be available or may be available only on unfavorable terms. In the event of a default, it is possible that our assets and certain of our subsidiaries’ assets may be attached or seized by the lenders. Any (i) failure by us to comply with the covenants or other provisions of the loan documents, (ii) difficulty in securing any required future financing, or (iii) any such seizure or attachment of assets could have a material adverse effect on our business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Acquisition of Substantially All of the Assets of igourmet LLC and Mouth Foods, Inc. Could Create Additional Risks to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23, 2018, our subsidiary, Innovative Gourmet LLC, acquired substantially all of the assets of igourmet, LLC. On July 6, 2018, our subsidiary, M Innovations LLC, acquired substantially all of assets of Mouth Foods, Inc. These businesses are very seasonal in nature, which generates certain operational considerations and could exacerbate the seasonality of our business. To wit, if igourmet or Mouth does not have a strong holiday season, it likely will not be successful. In addition, while our subsidiary acquired only certain discrete liabilities of igourmet LLC, creditors of igourmet or Mouth may seek to impose liability on us or our subsidiaries, the payment of which, if required, could impair our cash flow and even if there may be no actual liability or responsibility to pay such claims, our challenge to such claims could involve significant legal fees and be a distraction to our management. The business model of the assets acquired from igourmet LLC and Mouth differ from our other businesses and operations, and therefore the success of its operations and its business model may create unforeseen complications requiring the use of our limited resources to resolve.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Computer System Disruption and Cyber Security Attacks or a Data Breach Could Damage Our Relationships With Our Customers, Harm Our Reputation, Expose Us To Litigation And Adversely Affect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systems are subject to damage or interruption from computer viruses, malicious attacks and other security breaches. The possibility of a cyberattack on any one or all of these systems is a serious threat.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business model, we collect, retain, and transmit confidential information over public networks. In addition to our own databases, we use third party service providers to store, process and transmit this information on our behalf. Although we contractually require these service providers to implement and use reasonable security measures, we cannot control third parties and cannot guarantee that a security breach will not occur in the future either at their location or within their systems. We have confidential security measures in place to protect both our physical facilities and digital systems from attacks. Despite these efforts, we may be vulnerable to targeted or random security breaches, acts of vandalism, computer viruses, misplaced or lost data, programming and/or human errors, or other similar events.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growing nature of our e-commerce presence and digital strategy, it is imperative that we and our partners maintain uninterrupted and secure operation of our: (i) computer hardware, (ii) software systems, (iii) customer marketing databases and other customer information, and (iv) ability to email our current and potential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systems are damaged or fail to function properly or reliably, we may incur substantial repair or replacement costs, experience data loss or theft and impediments to our ability to conduct our operations. Any material disruptions in our e-commerce presence or information technology systems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Failure to Establish and Maintain Strategic Online and Social Media Relationships, and Other Relationships Targeted Towards Driving Web Traffic to our Websites, that Generate a Significant Amount of Traffic Could Limit the Growth of the Assets Acquired from igourmet LLC and Mouth Foods Inc.</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 party websites, search engines and affiliates with which we have strategic relationships for traffic. If these third parties do not attract a significant number of visitors, we may not receive a significant number of online customers from these relationships and our revenues from these relationships may remain flat or decrease. There continues to be strong competition to establish or maintain relationships with leading Internet companies, and we may not successfully enter into additional relationships, or renew existing ones beyond their current terms. We may also be required to pay significant fees to maintain and expand existing relationships or possibly not achieve the desired results with existing relationships. Our online revenues may suffer if we do not enter into new relationships or maintain existing relationships or if these relationships do not result in traffic sufficient to justify their costs.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 Significant Number of Customers are not Satisfied with their Purchase, We will be Required to Incur Substantial Costs to Issue Refunds, Credits or Replacement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customers are not satisfied with the products they receive, we may either replace the product for the customer or issue the customer a refund or credit. Ours net income would decrease if a significant number of customers request replacement products, refunds or credits and we are unable to pass such costs onto the supplier.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Continuously Improve Our Website, it May Not Attract or Retain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potential or existing customers do not find our websites including www.igourmet.com, www.mouth.com or any of the company’s other websites, a convenient place to shop, we may not attract or retain customers and our sales may suffer. To encourage the use of our website, we must continuously improve its accessibility, mobile capabilities, content and ease of use. In addition, customer traffic and our business would be adversely affected if competitors’ websites are perceived as easier to use or better able to satisfy customer needs. Furthermore, e-commerce conversion rates could be adversely affected by a variety of website related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to Help Grow Our Business May Not be Effective.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Maintaining and promoting awareness of our websites, including www.igourmet.com and www.mouth.com , is important to our ability to attract and retain visitors. Generating a meaningful return on our investments in marketing initiatives may be difficult. The marketing efforts we implement may not succeed for a variety of reasons, including our inability to execute and implement our plans. External factors beyond our control may also impact the success of our marketing initiatives. Search engines frequently change the algorithms that determine the ranking and display of results of a user’s search and may make other changes to the way results are displayed, which can negatively affect the placement of links to our websites and, therefore, reduce the number of visits to our websites.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growing use of online ad-blocking software, including on mobile devices, may also impact the success of our marketing efforts because we may reach a smaller audience and fail to bring more visitors to our websites. In addition, ongoing privacy regulatory changes may impact the scope and effectiveness of marketing and advertising services generally, including those used related to our websites. We also seek to obtain website visitors through email. If we are unable to successfully deliver emails to potential customers or customers do not open our emails, whether by choice or because those emails are marked as low priority or spam, or for other reasons, our business could be adversely affected. Social networking websites, such as Facebook and others are another source of visits to our websites. As ecommerce and social networking evolve, we must continue to evolve our marketing tactics accordingly and, if we are unable to do so, our business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Accurately Predict Customer Demand for Our Products, We May Lose Customers or Experience Increased Costs.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we expand the volume of products offered to our customers, we may be required or may elect for business purposes, to increase inventory levels and the number of products maintained in our warehouses. If we overestimate customer demand for our products, excess inventory and outdated merchandise could accumulate, tying up working capital and potentially resulting in reduced warehouse capacity and inventory losses due to damage, theft and obsolescence. If we underestimate customer demand, it may disappoint customers who may turn to our competitors.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Laws with Respect to Taxes Have Changed and May Change Again Which Could Impact Our Operating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Congress has enacted legislation that significantly reforms the Internal Revenue Code of 1986, as amended. The new legislation, among other things, includes changes to U.S. federal tax rates, imposes significant additional limitations on the deductibility of interest and net operating losses, and allows for the expensing of certain capital expenditures. Our net deferred tax assets and liabilities will be revalued at the newly enacted U.S. corporate rate, and the impact will be recognized in our tax expense in the year of enactment. We base our estimates on historical experience and on various other assumptions that are believed to be reasonable in the circumstances, the results of which form the basis for making judgments about the carrying values of assets and liabilities that are not readily apparent from other sources. Actual results may differ from these estimates under different assumptions or conditions. It is possible that the application of these new rules may have a material and adverse impact on our operating results, cash flows and financial condition. Furthermore, the recent Supreme Court Ruling in South Dakota V. Wayfair, Inc, in which the Court upheld South Dakota’s economic nexus law, which requires companies to collect sales tax when their sales or the number of transactions within the state exceed certain thresholds. could have an adverse impact on our business. In addition, any other changes to applicable tax laws, whether on a federal or state level, could also decrease our ability to compete with traditional retailers, and otherwise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Attract and Retain Key Personnel, Our Business and Operating Results May be Harmed.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future success depends to a significant degree on the skills, experience and efforts of key personnel in our senior management, whose vision for our company, knowledge of our business and expertise would be difficult to replace. If any one of our key employees leaves, is unable to work, or fails to perform and we are unable to find a qualified replacement, we may be unable to execute our business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Manage Our Growth Which Could Result in Our Being Unable to Maintain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for growth is focused on continued enhancements and expansion to our existing business model, offering a broader range of services and products, affiliating with additional vendors and through possible joint ventures. Pursuing this strategy presents a variety of challenges. We may not experience an increase in our services to our existing customers, and we may not be able to achieve the economies of scale, or provide the business, administrative and financial services, required to sustain profitability from servicing our existing and future customer base. Should we be successful in our expansion efforts, the expansion of our business would place further demands on our management, operational capacity and financial resources. To a significant extent, our future success will be dependent upon our ability to maintain adequate financial controls and reporting systems to manage a larger operation and to obtain additional capital upon favorable terms. We can give no assurance that we will be able to successfully implement our planned expansion (whether due to the impact of COVID-19, difficult economic conditions, or other unrelated reasons), finance its growth, or manage the resulting larger operations, if any. In addition, we can give no assurance that our current systems, procedures or controls will be adequate to support any expansion of our operations. Our failure to manage our growth effectively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Specialty Food and Foodservice Industry is Very Competitive, Which May Result in Decreased Revenue for Us as Well as Increased Expenses Associated with Marketing Our Services and Products.</w:t>
      </w:r>
    </w:p>
    <w:p>
      <w:pPr>
        <w:spacing w:after="0" w:line="1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specialty food and foodservice businesses are highly competitive. We compete against other providers of quality foods, some of which sell their services globally, and some of these providers have considerably greater resources than we have. These competitors may have greater marketing and sales capacity, established distribution networks, significant goodwill and global name recognition. Our e-commerce and product catalog websites and paper mailings compete with other e-commerce websites and other catalogs, and other specialty foodservice providers that market lines of products similar to ours. We compete with national, regional and local businesses utilizing a similar strategy, as well as traditional specialty food and foodservice distributors. The substantial sales growth in the direct-to-customer industry within the last decade has encouraged the entry of many new competitors, new business models, and an increase in competition from established companies. Furthermore, it may become necessary for us to reduce our prices in response to competition. This could negatively impact our ability to be profitable.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Upon Outside Vendors and Shippers for Our Specialty Food Products and Interruption in the Supply of Our Products or their Failure to Adhere to Our Quality Standards May Negatively Impact Our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Shortages in supplies of the food products we sell may impair our ability to provide our services. Our vendors are independent and we cannot guarantee their future ability to source the products that we sell. Many of our products are wild-caught, and we cannot guarantee their availability in the future. Unforeseen strikes and labor disputes as well as adverse weather conditions may result in our inability to deliver our products in a timely manner. Also, if our suppliers fail to supply quality product in a timely and effective manner it could lead to an increase in recalls and customer litigation against us which could harm our brands’ images and negatively affect our business and operating results. The success of our business depends, in part, on our ability to timely and effectively deliver merchandise (e.g. fresh products) to our customers. We cannot control all of the various factors that might affect our fulfillment rates in direct-to-customer sales. We are heavily dependent upon one national carrier for the delivery of our fresh products to our customers. Accordingly, we are subject to risks, including labor disputes, union organizing activity, inclement weather, technology breakdowns, natural disasters, the closure of their offices or a reduction in operational hours due to an economic slowdown or health related crisis, possible acts of terrorism, their ability to provide delivery services to meet our shipping needs, disruptions or increased fuel costs, and costs associated with any regulations to address climate change. Since our customers rely on us to deliver their orders daily or within 24-72 hours, delivery delays could significantly harm our business.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 Order to be Successful, We Must be able to Enhance Our Existing Products and Develop and Introduce New Products and Services to Respond to Changing Market Demand.</w:t>
      </w:r>
    </w:p>
    <w:p>
      <w:pPr>
        <w:spacing w:after="0" w:line="15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markets in which we operate are characterized by frequently changing customer demand and the introduction of new “flavors of the month” as certain foods become more and less popular. Changes in customer preferences and buying trends may also affect our products differently. We must be able to stay current with preferences and trends in specialty food and address the customer tastes for each of our target customer demographics. We must also be able to identify and adjust products to cater to customer demands and dietary needs. For example, a change in customer preferences for gluten free items may not correlate to a similar change in buying trends for other specialty food. In order to be successful, we must be able to enhance our existing products and anticipate and develop and introduce new products and services to respond to changing market demand for new tastes. The development and enhancement of services and products entails significant risks, including:</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 the inability to effectively adapt new food types to our business;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 the failure to conform our services and products to evolving industry standards;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 the inability to develop, introduce and market enhancements to our existing services and products or new services and products on a timely basis;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 the non-acceptance by the market of such new service and products.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misjudge either the market for our products or our customers’ purchasing habits, our sales may decline significantly which would negatively impact our business and operating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Acquisitions We Make or Have Made Could Result in Difficulties in Successfully Managing Our Business and Consequently Harm Our Financial Condition.</w:t>
      </w:r>
    </w:p>
    <w:p>
      <w:pPr>
        <w:spacing w:after="0" w:line="1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seek to expand by acquiring complementary businesses or assets in our current or ancillary markets. We cannot accurately predict the timing, size and success of our acquisition efforts and the associated capital commitments that might be required. We expect to face competition for acquisition candidates, which may limit the number of acquisition opportunities available to us and may lead to higher acquisition prices. There can be no assurance that we will be able to identify, acquire or profitably manage additional businesses or successfully integrate acquired businesses, if any, without substantial costs, delays or other operational or financial difficulties. In addition, acquisitions involve a number of other risks, including:</w:t>
      </w:r>
    </w:p>
    <w:p>
      <w:pPr>
        <w:spacing w:after="0" w:line="183" w:lineRule="exact"/>
        <w:rPr>
          <w:sz w:val="20"/>
          <w:szCs w:val="20"/>
          <w:color w:val="auto"/>
        </w:rPr>
      </w:pPr>
    </w:p>
    <w:p>
      <w:pPr>
        <w:ind w:left="440" w:hanging="437"/>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acquired businesses or assets acquired to achieve expected results;</w:t>
      </w:r>
    </w:p>
    <w:p>
      <w:pPr>
        <w:spacing w:after="0" w:line="225" w:lineRule="exact"/>
        <w:rPr>
          <w:rFonts w:ascii="Times New Roman" w:cs="Times New Roman" w:eastAsia="Times New Roman" w:hAnsi="Times New Roman"/>
          <w:sz w:val="18"/>
          <w:szCs w:val="18"/>
          <w:color w:val="auto"/>
        </w:rPr>
      </w:pPr>
    </w:p>
    <w:p>
      <w:pPr>
        <w:ind w:left="580" w:hanging="57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acquired business or assets into current operations</w:t>
      </w:r>
    </w:p>
    <w:p>
      <w:pPr>
        <w:spacing w:after="0" w:line="225" w:lineRule="exact"/>
        <w:rPr>
          <w:rFonts w:ascii="Times New Roman" w:cs="Times New Roman" w:eastAsia="Times New Roman" w:hAnsi="Times New Roman"/>
          <w:sz w:val="18"/>
          <w:szCs w:val="18"/>
          <w:color w:val="auto"/>
        </w:rPr>
      </w:pPr>
    </w:p>
    <w:p>
      <w:pPr>
        <w:ind w:left="580" w:hanging="57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resources to acquisitions;</w:t>
      </w:r>
    </w:p>
    <w:p>
      <w:pPr>
        <w:spacing w:after="0" w:line="225" w:lineRule="exact"/>
        <w:rPr>
          <w:rFonts w:ascii="Times New Roman" w:cs="Times New Roman" w:eastAsia="Times New Roman" w:hAnsi="Times New Roman"/>
          <w:sz w:val="18"/>
          <w:szCs w:val="18"/>
          <w:color w:val="auto"/>
        </w:rPr>
      </w:pPr>
    </w:p>
    <w:p>
      <w:pPr>
        <w:ind w:left="580" w:hanging="57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or personnel of the acquired businesses or assets;</w:t>
      </w:r>
    </w:p>
    <w:p>
      <w:pPr>
        <w:spacing w:after="0" w:line="225" w:lineRule="exact"/>
        <w:rPr>
          <w:rFonts w:ascii="Times New Roman" w:cs="Times New Roman" w:eastAsia="Times New Roman" w:hAnsi="Times New Roman"/>
          <w:sz w:val="18"/>
          <w:szCs w:val="18"/>
          <w:color w:val="auto"/>
        </w:rPr>
      </w:pPr>
    </w:p>
    <w:p>
      <w:pPr>
        <w:ind w:left="580" w:hanging="57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disappointing quality or functionality of acquired equipment and people; and</w:t>
      </w:r>
    </w:p>
    <w:p>
      <w:pPr>
        <w:spacing w:after="0" w:line="225" w:lineRule="exact"/>
        <w:rPr>
          <w:rFonts w:ascii="Times New Roman" w:cs="Times New Roman" w:eastAsia="Times New Roman" w:hAnsi="Times New Roman"/>
          <w:sz w:val="18"/>
          <w:szCs w:val="18"/>
          <w:color w:val="auto"/>
        </w:rPr>
      </w:pPr>
    </w:p>
    <w:p>
      <w:pPr>
        <w:ind w:left="580" w:hanging="57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unanticipated events, liabilities or contingencies.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Client dissatisfaction or performance problems at a single acquired business could negatively affect our reputation. The inability to acquire businesses on reasonable terms or successfully integrate and manage acquired companies, or the occurrence of performance problems at acquired companies, both prior and after acquisition, could result, or has resulted, in dilution, potential violations of bank covenants, unfavorable accounting treatment or one-time charges, and difficulties in successfully managing our business, requiring us to expend additional effort and expense in obtaining waivers, settling matters and otherwise addressing any such issues.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Results Depend on Continued Evolution of the Internet and its Use by Consumers and Businesses for Buying Our Products.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future results can depend on the use of the Internet for information, publication, distribution and commerce. Our growth may also be dependent on increasing availability to business consumers of broadband Internet access which will allow such persons to access higher-capacity content through the Internet. Our business could suffer if Internet usage and broadband availability does not continue to grow and evolve. In addition, the concept of ordering food, including ingredients, while it has recently grown, is a relatively new concept and represents a change from the way it had been previously done.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Effectively Manage Our IT Dependent Business Our Reputation and Operating Results May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part, on third parties and factors over which we have limited control. We are also vulnerable to certain additional risks and uncertainties associated with our e-commerce and product catalog websites, our internal IT systems and IT integration with our partners, including: changes in required technology interfaces; system issues and limitations, website downtime and other technical failures; internet connectivity issues; costs and technical issues as we upgrade our website software; computer viruses; changes in applicable federal and state regulations; security breaches; and consumer privacy concerns. 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succeed in increasing sales or attracting customers. Our failure to successfully respond to these risks and uncertainties might adversely affect our sales, as well as damage our reputation and brands.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Exposed to Risks and Costs Associated with Credit Card Fraud and Identity Theft that could Cause Us to Incur Unexpected Expenses and Loss of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increasing portion of our customer orders are placed through our e-commerce websites and a significant portion of our orders are submitted via networked applications. In addition, a significant portion of sales made through our retail channel require the collection of certain customer data, such as credit card information. In order for our sales channels to function and develop successfully, we and other parties involved in processing customer transactions must be able to transmit confidential information, including credit card information, securely over public networks. Third parties may have the technology or knowledge to breach the security of customer transaction data. Although we take the security of our systems and the privacy of our customers’ confidential information extremely seriously, we cannot guarantee that our security measures will effectively prevent others from obtaining unauthorized access to our information and our customers’ information. Any person who circumvents our security measures could destroy or steal valuable information or disrupt our operations. Any security breach could cause consumers to lose confidence in the security of our websites and choose not to purchase from us. Any security breach could also expose us to risks of data loss, litigation and liability and could seriously disrupt our operations and harm our reputation, any of which could harm our business.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states and the federal government are increasingly enacting laws and regulations to protect consumers against identity theft. Compliance with these laws will likely increase the costs of doing business and, if we fail to implement appropriate safeguards or to detect and provide prompt notice of unauthorized access as required by some of these new laws, we could be subject to potential claims for damages and other remedies, which could harm our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Earthquakes, Inclement Weather or Other Events Out of Our Control May Damage or Limit Production from Our Facilities and Our Ability to Timely Deliver Products Thereby Adversely Affecting Our Results of Operations.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significant operations in Florida, Illinois, and in other areas where weather or other events such as an earthquake, tsunami, hurricane, flood, fire, high winds, extreme heat or cold, or other natural or manmade events, could disrupt our operations and impair production or distribution of our products, damage inventory, interrupt critical functions, or otherwise affect our business negatively, adversely affecting our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Declines in General Economic Conditions and the Resulting Impact on Consumer Confidence and Consumer Spending Could Adversely Impact Our Results of Operations.</w:t>
      </w:r>
    </w:p>
    <w:p>
      <w:pPr>
        <w:spacing w:after="0" w:line="1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financial performance is subject to declines in general economic conditions and the impact of such economic conditions on levels of consumer confidence and consumer spending. Consumer confidence and consumer spending may deteriorate significantly and could remain depressed for an extended period of time, whether due to pandemic, inflation, bank failure, or other unrelated reasons. Consumer purchases of discretionary items, including specifically our merchandise, generally decline during periods when disposable income is limited, unemployment rates increase, and consumer perceptions of personal well-being and security declines or there is economic uncertainty. An uncertain economic environment could adversely impact our business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and May Be Subject to Regulatory Compliance and Legal Uncertainties.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Changes in government regulation and supervision or proposed Department of Agriculture or other regulatory agency reforms or rule changes could impair our sources of revenue and limit our ability to expand our business. In the event any future laws or regulations are enacted which apply to us, we may have to expend funds and/or alter our operations to ensure compliance. New legislation or regulation, or the application of existing laws and regulations to the areas related to our business could add additional costs and risks to doing business. In addition, we are subject to regulations applicable to businesses generally and laws and regulations directly applicable to communications over the Internet and access to e-commerce. In addition, it is possible that a number of laws and regulations may be adopted with respect to the Internet and other areas of our business, covering issues such as user privacy, pricing, content, copyrights, distribution, antitrust, taxation and characteristics and quality of products and services.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Since we do Not Intend to Pay Any Cash Dividends on Our Shares of Common Stock, Our Stockholders Will Not be Able to Receive a Return on Their Shares Unless They Sell Them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intend to retain any future earnings to finance the development and expansion of our business. We do not anticipate paying any cash dividends on our common stock in the foreseeable future. Unless we pay dividends, our stockholders will not be able to receive a return on their shares unless they sell them at a price higher than that which they initially paid for such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4" w:name="page15"/>
    <w:bookmarkEnd w:id="14"/>
    <w:p>
      <w:pPr>
        <w:ind w:left="2"/>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both"/>
        <w:ind w:left="2"/>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Legal Proceedings that Could be Time Consuming, Result in Costly Litigation, Require Significant Amounts of Management Time and Result in the Diversion of Significant Operational Resources.</w:t>
      </w:r>
    </w:p>
    <w:p>
      <w:pPr>
        <w:spacing w:after="0" w:line="159"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We are involved in lawsuits, claims and proceedings incident to the ordinary course of our business. Litigation is inherently unpredictable. Any claims against us, whether meritorious or not, could be time consuming, result in costly arbitration or litigation, require significant amounts of management time and result in the diversion of significant operational resources. Even if we believe that we have meritorious defenses against these actions, and we resolve to vigorously defend against them, the cost of defending against all these types of claims against us or the ultimate resolution of such claims, whether by settlement or adverse court decision, may harm our business and operating results and may be in excess of any amounts previously reserved for legal expenses. In addition, the increasingly regulated business environment and the nature of our products may result in a greater number of enforcement actions and private litigation. This could subject us to increased exposure to stockholder lawsuits. Also, we (and our affiliates) may be subject to attempts to bring legal claims by creditors and other third parties related to the liabilities or potential liabilities, of our former subsidiaries, or of the liabilities related to any company whose assets we acquired or do business with.</w:t>
      </w:r>
    </w:p>
    <w:p>
      <w:pPr>
        <w:spacing w:after="0" w:line="184" w:lineRule="exact"/>
        <w:rPr>
          <w:sz w:val="20"/>
          <w:szCs w:val="20"/>
          <w:color w:val="auto"/>
        </w:rPr>
      </w:pPr>
    </w:p>
    <w:p>
      <w:pPr>
        <w:jc w:val="both"/>
        <w:ind w:left="2"/>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We Cannot be Certain if the Reduced Reporting Requirements Applicable to Smaller Reporting Companies Will Make our Common Stock Less Attractive to Investors.</w:t>
      </w:r>
    </w:p>
    <w:p>
      <w:pPr>
        <w:spacing w:after="0" w:line="159"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Act of 1934.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reduced disclosure obligations regarding historical financial statements, executive compensation in our periodic reports, registration statements,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We will remain a smaller reporting company until the beginning of a year in which we had a public float of $250 million held by non-affiliates or revenues below $100 million and a public float below $700 million, in each case as determined as of the last business day of the second quarter of the Company’s fiscal year.</w:t>
      </w:r>
    </w:p>
    <w:p>
      <w:pPr>
        <w:spacing w:after="0" w:line="172" w:lineRule="exact"/>
        <w:rPr>
          <w:sz w:val="20"/>
          <w:szCs w:val="20"/>
          <w:color w:val="auto"/>
        </w:rPr>
      </w:pPr>
    </w:p>
    <w:p>
      <w:pPr>
        <w:ind w:left="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Common Stock is Subject to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Rules of the SEC and the Trading Market in our Securities is Limited, Which Makes Transactions in Our Stock Cumbersome and May Reduce the Value of an Investment in Our Stock.</w:t>
      </w:r>
    </w:p>
    <w:p>
      <w:pPr>
        <w:spacing w:after="0" w:line="159"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Securities and Exchange Commission has adopted Rule 15g-9 which establishes the definition of a “penny stock,” for the purposes relevant to us, as any equity security that has a market price of less than $5.00 per share or with an exercise price, for warrants or options or conversion price for convertible notes, of less than $5.00 per share, subject to certain exceptions. For any transaction involving a penny stock, unless exempt, the rules require:</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●that a broker or dealer approve a person’s account for transactions in penny stocks; and</w:t>
      </w:r>
    </w:p>
    <w:p>
      <w:pPr>
        <w:spacing w:after="0" w:line="27"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●the broker or dealer receives from the investor a written agreement to the transaction, setting forth the identity and quantity of the penny stock to be purchased.</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order to approve a person’s account for transactions in penny stocks, the broker or dealer must:</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●obtain financial information and investment experience objectives of the person; and</w:t>
      </w:r>
    </w:p>
    <w:p>
      <w:pPr>
        <w:spacing w:after="0" w:line="27" w:lineRule="exact"/>
        <w:rPr>
          <w:sz w:val="20"/>
          <w:szCs w:val="20"/>
          <w:color w:val="auto"/>
        </w:rPr>
      </w:pPr>
    </w:p>
    <w:p>
      <w:pPr>
        <w:ind w:left="2" w:hanging="2"/>
        <w:spacing w:after="0" w:line="260" w:lineRule="auto"/>
        <w:tabs>
          <w:tab w:leader="none" w:pos="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1" w:lineRule="exact"/>
        <w:rPr>
          <w:sz w:val="20"/>
          <w:szCs w:val="20"/>
          <w:color w:val="auto"/>
        </w:rPr>
      </w:pPr>
    </w:p>
    <w:p>
      <w:pPr>
        <w:ind w:left="2"/>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prescribed by the Commission relating to the penny stock market, which, in highlight form:</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●Sets forth the basis on which the broker or dealer made the suitability determination, and</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 Risk</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cybersecurity risks include theft of business data, fraud or extortion, lack of access to our information systems, harm to employees, harm to business partners, violation of privacy laws, potential reputational damage, and litigation or other legal risk if a cybersecurity incident were to occur. It is difficult to assign a monetary materiality assessment to these risks or to the impact if we were to sustain a breach of our systems. Our approach is based on the premise that any cybersecurity incident could result in material harm to the Company.</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utilize Information Technology Associates (“ITA”), an outsourced IT provider which has been designated with oversight responsibility for our cybersecurity risks. ITA possesses a deep understanding of our information technology systems, including methods to manage and monitor cybersecurity risks. It also provides active monitoring and risk assessments of cybersecurity threats and communicates such threats to our Company. Low risk threats are communicated to our systems analysts, and high risk threats are first communicated to Bill Bennett (our CEO and director), Brady Smallwood (our COO and director), and Gary Schubert, our CFO, and are then discussed with our board of directors.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conduct annual assessments of risks posed by cybersecurity threats in conjunction with our insurance renewal cycles. This includes a thorough review of our systems and vulnerabilities. As a result of these assessments, we have implemented tools and practices to proactively monitor our systems and user accounts including, but not limited to, deploying solutions to constantly monitor users accessing systems, implementation of two factor authentication for logins, and improved rules for password maintenance. Additionally, we require our associates to complete cybersecurity awareness training provided by NINJIO.</w:t>
      </w:r>
    </w:p>
    <w:p>
      <w:pPr>
        <w:spacing w:after="0" w:line="18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Like many companies, we make use of cloud-based solutions provided by several large service providers for critical information technology infrastructure such as email and file storage. We do not maintain stand-alone servers for our emails. However, we do maintain a standalone server for our main enterprise resource planning (ERP) program (Great Plains), and we maintain two servers dedicated to processing orders for Artisan Specialty Foods and Food Innovations, Inc. We also maintain a file server that currently houses approximately one terabyte of data. Each of our servers is protected by firewall and two-factor-authentication. Additionally, we take multiple snapshots of our servers several times throughout the day and store encrypted backups of our data both locally and in a cloud server to mitigate loss in the event of any malicious attacks on these resources. In the normal course of our relationships with the providers of our services not controlled in-house, we regularly monitor their message boards and other formal and informal communications channels for signs of breaches of their systems. We also survey available public information for indications that they have suffered a breach of their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8, 2013, we purchased a building and property located at 28411 Race Track Road, Bonita Springs, Florida 34135. The property consists of approximately 1.1 acres of land and close to 10,000 square feet of combined office and warehouse space. The purchase price of the property was $770,000 and was financed in part by a five year mortgage in the amount of $546,000. In March 2018, the remaining balance under this mortgage was extended to May 27, 2023. The company relocated all of its Florida-based office and warehouse facilities into this facility on July 15, 2013. On February 14, 2024, the Company sold this property for a total purchase price of $2,455,000 prior to closing costs; net proceeds from this transaction were approximately $1,900,000.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18, 2024, the Company signed a one-year lease for 1,335 rentable square feet of office space located at 9696 Bonita Beach Road, Bonita Springs, Florida, 34135, and this location became the Company’s primary address. Base rent for the Bonita Beach Road property is $1,891 per month plus approximately $723 in common area maintenance charges.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May 14, 2015, we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WSJP rate plus 1.25%.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will be used by Artisan and other subsidiaries of the Company for the purposes of new product testing, development and approval, Quality Assurance and Quality Control as well as sales presentations and customer demonstrations. In addition, we recently added a packaging room to the Artisan building, which is built to FDA, FSMA and SQF food safety standards and purchased new, technologically advanced semi-automated fillers for the packaging room. The packaging room addition will allow for expansion of proprietary private label product lines as well as packing of organic, non GMO, diet specific and other specialty foods. The test kitchen, packaging room and additional improvements were financed by a loan from Fifth Third Bank. On June 6, 2022, this loan was transferred to MapleMark Bank.</w:t>
      </w:r>
    </w:p>
    <w:p>
      <w:pPr>
        <w:spacing w:after="0" w:line="18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2022 was $16,400,000. Related to the Facility purchase, the Company entered into a commercial loan agreement for both the purchase price and planned improvements to the Facility. The amount of the loan was $5,500,000, of which the Company drew down $3,600,000 for the acquisition of the Facility; the lender was Fifth Third Bank and the loan is secured by a mortgage on the property and other Company assets. The interest on the loan is WSJP rate plus 1.25%, with interest only payments due through June 30, 2024. Related to Facility purchase, the Company also acquired certain leases from certain tenants of the Facility, all of which were in good standing at the time of purchase. On June 6, 2022, this loan was transferred to MapleMark Bank.</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5, 2020, the Company completed work to upgrade the Facility at a cost of $2,231,458 in order to better support the Company’s focus on e-commerce and logistics.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September 16, 2019, an action (the “PA Action”) was filed in the Court of Common Pleas of Philadelphia County, Trial Division, against, among others, the Company and its wholly-owned subsidiaries, igourmet and Food Innovations, Inc. Since that time, other parties involved in the incident have joined as plaintiffs in the PA Action. The complaint in the PA Action alleges, inter alia, wrongful death and negligence by a driver employed by igourmet and indicates a demand and offer to settle for fifty million dollars. On January 5, 2024, all parties to the PA Action came to an agreement at Mediation on the material terms of settlement and on January 22, 2024, a settlement was agreed upon in an action filed in the Court of Common Pleas of Philadelphia County, Trial Division against, among others, the Company and its wholly owned subsidiaries, igourmet and Food Innovations, Inc. On Monday, January 29, 2024, the Company received a settlement and release agreement from certain plaintiffs in the PA Action. The Company and its subsidiaries resolved all liabilities within the coverages of their insurance carriers.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Prices for our common stock are quoted on the OTCQB. Since March 2004, our common stock has traded under the symbol “IVFH”. Prior thereto, our common stock traded under the symbol “FBSN”. At March 17, 2024, there were 49,714,929 shares of our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17, 2024, there were approximately 59 record holders of our common stock. In addition, we believe there are at least several hundred additional beneficial owners of our common stock whose shares are held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paid dividends during the three most recently completed fiscal years and have no current plans to pay dividends on our common stock. We currently intend to retain all earnings, if any, for use in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and Other Issuances of Our Equity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 2023, the Company issued 875,000 shares of common stock to its previous CEO and a board member in connection with his compensation agreement. These shares were previously accrued at an average price of $0.22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28, 2023, the Company issued a total of 267,030 shares of common stock at a price of $0.42 per share to three employees as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2023, the Company issued 400,000 shares of common stock to its previous CEO and a board member pursuant to a separation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were previously accrued at a price of $0.42 per share.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7, 2023, the Company issued 178,626 shares to its previous CEO pursuant to his compensation plan. These shares were previously accrued at a price of $0.23 per share. This issuance did not increase the number of shares outstanding.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31, 2023, the Company issued 14,754 shares to its previous Director of Strategic Acquisitions pursuant to his compensation plan. These shares were previously accrued at a price of $0.23 per share. This issuance did not increase the number of shares outstanding.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6, 2023, the Company issued an aggregate of 459,211 shares to two board members pursuant to their compensation plan. These shares were previously accrued at a price of $0.23 per share. This issuance did not increase the number of shares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2023, the Company issued 320 shares to a previous employee as a bonus. These shares were previously accrued at a price of $0.44 per shares. This issuance did not increase the number of shares outstanding.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 2023, 30,000 shares were issued to a service provider. These shares were previously accrued at a price of $1.30 per share. This issuance did not increase the number of shares outstanding.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7, 2023, the Company issued 678,302 shares, net of 265,229 shares withheld for taxes, at a price of $0.59 per shares to its CEO pursuant to his compensation plan.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30, 2023, the Company issued an aggregate of 57,560 shares were issued to two board members, its previous CEO, and its previous Director of Strategic Acquisitions for the cashless exercise of 360,000 stock options at a price of $0.62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15, 2024, 150,000 shares were issued to a previous board member for options previously exercised at a price of $0.44 per shares. The issuance of these shares was previously accrued. This issuance did not increase the number of shares outstanding.</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All of the issuances described above were exempt from registration pursuant to Section 4(2) of the Securities Act of 1933 for the following reasons: (1) none of the issuances involved a public offering or public advertising for the payment of any commissions or fees; (2) the issuances to investors were to “accredited investors”; (3) the issuances upon conversion of notes were for notes held at least 12 months and did not involve the payment of any other consideration; and (4) all issuances to affiliates and to non-affiliates holding the securities for less than six months carried restrictive legends.</w:t>
      </w:r>
    </w:p>
    <w:p>
      <w:pPr>
        <w:sectPr>
          <w:pgSz w:w="11900" w:h="16838" w:orient="portrait"/>
          <w:cols w:equalWidth="0" w:num="1">
            <w:col w:w="10980"/>
          </w:cols>
          <w:pgMar w:left="460" w:top="121" w:right="45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December 31, 2023</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December 31, 2023:</w:t>
      </w:r>
    </w:p>
    <w:p>
      <w:pPr>
        <w:spacing w:after="0" w:line="158"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00" w:type="dxa"/>
            <w:vAlign w:val="bottom"/>
          </w:tcPr>
          <w:p>
            <w:pPr>
              <w:spacing w:after="0"/>
              <w:rPr>
                <w:sz w:val="20"/>
                <w:szCs w:val="20"/>
                <w:color w:val="auto"/>
              </w:rPr>
            </w:pPr>
          </w:p>
        </w:tc>
      </w:tr>
      <w:tr>
        <w:trPr>
          <w:trHeight w:val="210"/>
        </w:trPr>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r>
      <w:tr>
        <w:trPr>
          <w:trHeight w:val="216"/>
        </w:trPr>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r>
      <w:tr>
        <w:trPr>
          <w:trHeight w:val="249"/>
        </w:trPr>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December 31, 2022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December 31, 2022:</w:t>
      </w:r>
    </w:p>
    <w:p>
      <w:pPr>
        <w:spacing w:after="0" w:line="158"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00" w:type="dxa"/>
            <w:vAlign w:val="bottom"/>
          </w:tcPr>
          <w:p>
            <w:pPr>
              <w:spacing w:after="0"/>
              <w:rPr>
                <w:sz w:val="20"/>
                <w:szCs w:val="20"/>
                <w:color w:val="auto"/>
              </w:rPr>
            </w:pPr>
          </w:p>
        </w:tc>
      </w:tr>
      <w:tr>
        <w:trPr>
          <w:trHeight w:val="210"/>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16"/>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8"/>
                <w:szCs w:val="18"/>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the following shares are issuable pursuant to outstanding stock options, warrants, and rights issued under the 2011 Stock Option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0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95"/>
              </w:rPr>
              <w:t>0.55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2" w:lineRule="exact"/>
        <w:rPr>
          <w:sz w:val="20"/>
          <w:szCs w:val="20"/>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one major customer,</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520" w:right="20" w:hanging="517"/>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bank failures,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outstanding at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Embedded conversion features of notes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convertible notes outstanding at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options in accordance with FASB ASC 718-40. Options are valued upon issuance utilizing the Black-Scholes valuation model. Option expense is recognized over the requisite service period of the related option award. The following table illustrates certain key information regarding our options and option assumptions at December 31, 2023 and 2022:</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outstanding</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Value at December 31</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issued during the year</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Value of options issued during the year</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recognized during the year</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Number of options exercised or expired during the year</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options recognized during the year</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Revaluation (gain) during the period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Black-Scholes model variables: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Doubtful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maintained an allowance in the amount of $46,477 and $340,225 for doubtful accounts receivable at December 31, 2023 and 2022, respectively.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 At December 31, 2023, the Company has a net operating loss carryforward of approximately $5,104,000.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 Major Customer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(1) following our discussion of Liquidity and Capital Resources, (2) under the heading Major Customer in Note 20 to the Consolidated Financial Statements, and (3) in Business – Relationship with U.S. Foods, and (4) as the second item under Risk Factors.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Revenue decreased by $6,685,179 or approximately 8% to $72,218,996 for the year ended December 31, 2023 from $78,904,175 in the prior year. Our decrease in revenues is attributed to two major factors. First, one of our largest customers implemented a sales platform change affecting the customers’ ability to find and purchase the IVFH products they were used to purchasing. Second, as a result of executing phase one of our outlined three phased strategy, a conscious decision was made to scale back our direct-to-consumer eCommerce businesses which included a reduction of dedicated resources and marketing spend required to support such revenues.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cost of goods sold for the year ended December 31, 2023 was $54,693,359, a decrease of $6,684,025 or approximately 11% compared to cost of goods sold of $61,377,384 for the year ended December 31, 2022. Cost of goods sold was made up of the following expenses for the year ended December 31, 2023: cost of goods of specialty, meat, game, cheese, seafood, poultry and other sales categories in the amount of $39,512,072; shipping, delivery, handling, and purchase allowance expenses in the amount of $14,595,564; and cost of goods associated with logistics of $585,723. Gross margins as a percentage of sales improved during the current period to 24.3% compared to 22.2% during the comparable period, as we continued implementing improved cost controls, better managed pricing, and focused more on product mix.</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2024, we will continue to price our products in order to increase sales, gain market share and increase the number of our end users and customers. We currently expect, if market conditions, overall economic conditions, and our product revenue mix remain constant, that our cost of goods sold may increase and may result in a decrease in profit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decreased by $943,152 or approximately 5% to $17,389,351 during the year ended December 31, 2023 compared to $18,332,503 for the year ended December 31, 2022. The decrease in selling, general, and administrative expenses was primarily due to a decrease in advertising and digital marketing costs in the amount of $1,157,945; a decrease in office, facilities, and vehicles cost of $461,559; a decrease in computer and IT costs of $101,761; and a decrease in banking and credit card fees of $80,665. These decreases were partially offset by an increase in payroll and related costs in the amount of $618,090, including an increase of $83,545 in non-cash compensation; an increase in insurance costs of $90,369; an increase in bad debt expense of $75,211; an increase in taxes of $43,333; and an increase in professional and legal fees of $42,253. The decrease in sales, general, and administrative expenses represent the results of our overall cost-cutting efforts as well as the restructuring of our marketing and advertising programs.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costs – executive officers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the following separation agreements: (i) a separation agreement with its Prior CEO and current board member with a total cost of $1,819,199 consisting of cash payments of $250,000, a non-interest bearing note payable to Mr. Klepfish in the amount of $1,000,000, $1,199 of Cobra health insurance payments, and stock grants with a value of $568,000; (ii) a separation agreement with its prior Director of Strategic Acquisitions and prior board member with a total cost of $126,451 consisting of cash payments of $100,000 and $26,451 of Cobra health insurance payments; (iii) a separation agreement with its prior CFO with a total cost of $128,413 consisting of cash payments of $113,918 and $14,495 of Cobra health insurance payments. The aggregate separation costs for the year ended December 31, 2023 was $2,074,063; there were no such costs during the prior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an impairment of intangible assets in the amount of $1,315,822 consisting of impairment charges in the amount of $1,055,400 and $260,422 against the tradenames held by igourmet and Mouth, respectively. Due to our strategic decision to allocate fewer resources to our direct-to-consumer business, the determination was made that the cost of these assets was unlikely to be recovered.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Interest expense, net of interest income, increased by $289,167 or approximately 49% to $876,452 during the year ended December 31, 2023, compared to $587,285 during the year ended December 31, 2022. The increase was due primarily to an increase in interest accrued or paid on the Company’s commercial loans and notes payable in the amount of $404,186 due to higher interest rates and higher loan balances. The increase in interest expense was partially offset by a decrease in the amortization of loan fees in the amount of $112,463, from $115,760 in the prior year to $3,297 during the current year. In addition, interest income increased by $2,556, from $6,480 in the prior year to $9,036 in the current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sale of subsidiaries</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December 29, 2023, the Company sold 100% of their equity interests in Organic Food Brokers, LLC and Oasis Sales Corp. to a single buyer for a purchase price of $75,000. The Company recorded a loss in the amount of $45,022 on this transaction. There were no comparable transactions in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other income in the amount of $14,925 from the sale of a subscription based D2C revenue stream. During the year ended December 31, 2022, the Company recognized other income in the amount of $294,000 in connection with the termination of the interest rate swap.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sales of assets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gain in the amount of $9,360 in connection with the sale of a vehicle. There was no comparable transaction in the prior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leasing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income in the amount of $7,600 in connection with the lease of space in our Mountaintop warehouse facility, a decrease of $3,626 or approximately 32% compared to $11,226 during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contingent liabilities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total of $295,600 in gains on contingent liabilities. This was composed of two contingent liabilities recorded in connection with the igourmet acquisition on January 24, 2018, with a total remaining balance in the amount of $175,600; and two contingent liabilities recorded in connection with the Mouth acquisition on July 6, 2018, with a total remaining balance in the amount of $120,000. In each instance, the contingent event was not met, and the payment period has passed; accordingly, the Company has reversed these liabilities. There were no comparable transactions in the current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Investment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made the determination that our investments in seven food-related companies were unlikely to be recovered, and we recorded an impairment on these investments in the aggregate amount of $286,725. There were no comparable transactions in the current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extinguishment of debt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current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paid federal income taxes in the amount of $15,834 in connection with an audit of the year ended December 31, 2017. There was no such charge during the prior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from continuing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reasons above, the Company had a net loss from continuing operations for the year ended December 31, 2023 of $4,159,022, an increase of $3,039,570 or approximately $271% compared to a net loss from continuing operations of $1,119,452 during the year ended December 31, 2022. The loss for the year ended December 31, 2023 includes a net total of $2,355,220 in non-cash charges, including charges for non-cash compensation in the amount of $405,503; depreciation expense of $526,274; impairment of intangible assets of $1,315,822; amortization of prepaid loan fees of $3,297; amortization of intangible assets in the amount of $30,994; and provision for doubtful accounts of $73,330 The loss for the year ended December 31, 2022 includes a total of $1,580,162 in non-cash charges, including charges for non-cash compensation in the amount of $576,964; depreciation expense of $520,848; impairment of investment of $286,725; provision for doubtful accounts of $(1,915); amortization of prepaid loan fees of $115,760; loss on extinguishment of debt of $40,556, and amortization of intangible assets in the amount of $41,224.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from discontinued operations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had a net loss from discontinued operations in the amount of $196,130, a decrease in the amount of $34,420 or approximately 15% compared to a net loss from discontinue operations in the amount of $230,550 during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December 31, 2023</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current assets of $13,641,149, consisting of cash and cash equivalents of $5,327,016; trade accounts, net receivable of $4,307,726; inventory of $2,973,134; other current assets of $287,528; assets held for sale of $649,884, and current assets of discontinued operations of $95,861. Also at December 31, 2023, the Company had current liabilities of $8,640,993, consisting of trade payables and accrued liabilities of $6,252,951; accrued separation costs, related parties of $463,911; accrued interest of $95,942, deferred revenue of $1,312,837, stock appreciation rights liability of $255,020; current portion of notes payable of $121,041, current portion of operating lease liability of $17,131, current portion of financing lease liability of $115,738; and current liabilities of discontinued operations of $6,422.</w:t>
      </w:r>
    </w:p>
    <w:p>
      <w:pPr>
        <w:spacing w:after="0" w:line="18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had cash used in operating activities of $435,562. Cash flow used in operations consisted of the Company’s consolidated net loss of $4,355,152 less impairment of intangible assets of $1,315,822; depreciation and amortization of $557,268; stock-based compensation in the amount of $405,503; value of stock appreciation rights of $255,020; provision for inventory of $189,582; provision for doubtful accounts of $73,330; amortization of right of use asset of $51,756; loss on sale of subsidiaries of $45,022; amortization of discount on notes payable of $3,297; and gain on the disposition of assets of $(9,360). In addition, the Company’s cash position increased by $1,032,350 as a result of changes in the components of current assets and current liabilities.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cash used in investing activities of $36,332 for the year ended December 31, 2023, which consisted of cash paid for the acquisition of property and equipment in the amount of $122,403, partially offset by cash received from the sale of subsidiaries of $75,000 and cash received from the sale of assets of $11,071.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cash provided by financing activities of $994,831 for the year ended December 31, 2023, which consisted of cash received from notes payable, net in the amount of $3,285,588; partially offset by principal payments on the line of credit in the amount of $2,014,333; principal payments on debt of $187,611; and principal payments on financing leases of $88,813.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net working capital of $5,000,156 as of December 31, 2023. The Company had cash used in operating activities during the year ended December 31, 2023 in the amount of $435,562, compared to $599,086 during the year ended December 31, 2022. The Company intends to continue to focus on increasing market share and cash flow from operations by focusing its sales activities on specific market segments and new product lines and improving operating efficiencies. Currently, we do not have any material long-term obligations other than those described in Note 14 to the financial statements included in this report. As we seek to increase our sales of new items and enter new markets, acquire new businesses as well as identify new food oriented products and services, we may use existing cash reserves, long-term financing, or other means to finance such diversification, although no assurance can be given that such growth will occur.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focus on increasing market share and cash flow from operations by focusing its sales activities on specific market segments and new product lines.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Company’s cash flow from operations is insufficient to fully implement its business plan disclosed below,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discussed in our earnings calls and press releases over the past year, we are dividing our journey into three distinct phases: 1) Stabilization, 2) Laying the Foundation for Growth, and 3) Build and Scale.</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first phase is focused on the stabilization of our business. We need to build a track record of consistently delivering a profitable business model and positive cash flow. This is why we’ve been focused so heavily on right sizing our margins, expenses, and uses of cash. During this phase we have been clear that we expected revenues to decline as we worked through some revenue headwinds at one key customer, and exited unprofitable or non-core businesses, helping us focus the business on the core, profitable Professional Chef business. We expect to return to revenue growth by the back half of 2024 as we complete the stabilization phase.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We’re calling our second phase “Laying the Foundation for Growth,” which will entail considering making several strategic investments to build a next generation business model. Our goal will be to design a best-in-class value proposition that serves our customers in a differentiated way, and transparently demonstrates the profitable business model we expect to build. We anticipate this phase will last 12-18 months. Our growth focus during this phase falls into three buckets: 1) growing our business with existing customers with a more structured sales team with appropriate incentives, expanding our assortment of products with a much higher focus on fresh categories, and working to lower prices through improved sourcing and negotiation tactics; 2) establishing relationships with new customers to prove out the broader appeal of our value proposition, and de-risk our customer concentration; and 3) launching or buying entirely new sales channels which serve incremental customers and market share opportunities.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Then we’ll move to phase three, which we’re calling: “Build and Scale.” By this point, we will have a clear view of where we’re headed, and the outsized benefits of getting there. This measured approach to growth will ensure we only scale business models we can prove will drive accretive growth for the company.</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we move through these three phases, we believe that there are lateral opportunities in the food industry and related markets. We may consider the possibility of acquiring specialty food manufacturers, specialty food distributors, or specialty food brands. We anticipate that any acquisition could potentially involve the issuance of additional shares of our common stock or third party financing, which may not be available on acceptable terms. No acquisition will be consummated without thorough due diligence. No assurance can be given that we will be able to identify and successfully conclude negotiations with any potential target.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inflation has had a material effect on the Company’s financial condition and results of its operations. The Company has seen inflation across its costs for fuel, shipping, cost of goods, and marketing. Balancing the management of these increases with the willingness of our customers to pay higher prices will be a key focus for the Company this year. However, no assurance can be given that we will be successful and inflationary pressure on our profits will likely continue into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Major Customers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47% and 49% of total sales in the years ended December 31, 2023 and 2022, respectively; and approximately 47% of total sales in the fourth quarter of 2023 compared to 46% of total sales in the fourth quarter of 2022. A contract between our subsidiary, Food Innovations, and USF entered an optional renewal period in December 2012 but was automatically extended for an additional 12 months in each of January 1, 2013 and 2014. On January 26, 2015 we executed a contract directly between Food Innovations, Inc., our wholly-owned subsidiary, and U.S. Foods, Inc. The term of the Agreement was from January 1, 2015 through December 31, 2016 and provided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during the year ended December 31, 2023 and 2022, sales to Gate Gourmet accounted for approximately 15% and 13% of total sales,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156845</wp:posOffset>
            </wp:positionV>
            <wp:extent cx="4277360"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773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Innovative Food Holdings,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2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Innovative Food Holdings, Inc. and Subsidiaries (the Company) as of December 31, 2023 and 2022 and the related consolidated statements of operations, stockholders’ equity and cash flows for the each of the two years in the period ended December 31, 2023 and the related consolidated notes (collectively referred to as the financial statements). In our opinion, the financial statements present fairly, in all material respects, the financial position of the Company as of December 31, 2023 and 2022, and the results of its operations and its cash flows for the each of the two years in the period ended December 31, 2023,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22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identify any critical audit matters that need to be communicated.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1611630" cy="471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16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Margate, Florida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21, 2024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ASSURANCE DIMENSIONS CERTIFIED PUBLIC ACCOUNTANTS &amp; ASSOCIATES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also d/b/a McNAMARA and ASSOCIATES, PLLC</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TAMPA BAY</w:t>
      </w:r>
      <w:r>
        <w:rPr>
          <w:rFonts w:ascii="Times New Roman" w:cs="Times New Roman" w:eastAsia="Times New Roman" w:hAnsi="Times New Roman"/>
          <w:sz w:val="14"/>
          <w:szCs w:val="14"/>
          <w:color w:val="auto"/>
        </w:rPr>
        <w:t>: 4920 W Cypress Street, Suite 102 | Tampa, FL 33607 | Office: 813.443.5048 | Fax: 813.443.5053</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JACKSONVILLE</w:t>
      </w:r>
      <w:r>
        <w:rPr>
          <w:rFonts w:ascii="Times New Roman" w:cs="Times New Roman" w:eastAsia="Times New Roman" w:hAnsi="Times New Roman"/>
          <w:sz w:val="14"/>
          <w:szCs w:val="14"/>
          <w:color w:val="auto"/>
        </w:rPr>
        <w:t>: 4720 Salisbury Road, Suite 223 | Jacksonville, FL 32256 | Office: 888.410.2323 | Fax: 813.443.5053</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ORLANDO: </w:t>
      </w:r>
      <w:r>
        <w:rPr>
          <w:rFonts w:ascii="Times New Roman" w:cs="Times New Roman" w:eastAsia="Times New Roman" w:hAnsi="Times New Roman"/>
          <w:sz w:val="14"/>
          <w:szCs w:val="14"/>
          <w:color w:val="auto"/>
        </w:rPr>
        <w:t>1800 Pembrook Drive, Suite 300 | Orlando, FL 32810 | Office: 888.410.2323 | Fax: 813.443.5053</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SOUTH FLORIDA</w:t>
      </w:r>
      <w:r>
        <w:rPr>
          <w:rFonts w:ascii="Times New Roman" w:cs="Times New Roman" w:eastAsia="Times New Roman" w:hAnsi="Times New Roman"/>
          <w:sz w:val="14"/>
          <w:szCs w:val="14"/>
          <w:color w:val="auto"/>
        </w:rPr>
        <w:t>: 2000 Banks Road, Suite 218 | Margate, FL 33063 | Office: 754.800.3400 | Fax: 813.443.5053</w:t>
      </w:r>
    </w:p>
    <w:p>
      <w:pPr>
        <w:jc w:val="center"/>
        <w:spacing w:after="0"/>
        <w:rPr>
          <w:sz w:val="20"/>
          <w:szCs w:val="20"/>
          <w:color w:val="auto"/>
        </w:rPr>
      </w:pPr>
      <w:r>
        <w:rPr>
          <w:rFonts w:ascii="Times New Roman" w:cs="Times New Roman" w:eastAsia="Times New Roman" w:hAnsi="Times New Roman"/>
          <w:sz w:val="14"/>
          <w:szCs w:val="14"/>
          <w:color w:val="auto"/>
        </w:rPr>
        <w:t>www.assurancedimensions.com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r>
      <w:tr>
        <w:trPr>
          <w:trHeight w:val="391"/>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5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assets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5,327,016</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4,779,694</w:t>
            </w:r>
          </w:p>
        </w:tc>
        <w:tc>
          <w:tcPr>
            <w:tcW w:w="100" w:type="dxa"/>
            <w:vAlign w:val="bottom"/>
            <w:shd w:val="clear" w:color="auto" w:fill="CCEEFF"/>
          </w:tcPr>
          <w:p>
            <w:pPr>
              <w:spacing w:after="0"/>
              <w:rPr>
                <w:sz w:val="17"/>
                <w:szCs w:val="17"/>
                <w:color w:val="auto"/>
              </w:rPr>
            </w:pPr>
          </w:p>
        </w:tc>
      </w:tr>
      <w:tr>
        <w:trPr>
          <w:trHeight w:val="203"/>
        </w:trPr>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4,307,726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4,794,570</w:t>
            </w:r>
          </w:p>
        </w:tc>
        <w:tc>
          <w:tcPr>
            <w:tcW w:w="100" w:type="dxa"/>
            <w:vAlign w:val="bottom"/>
          </w:tcPr>
          <w:p>
            <w:pPr>
              <w:spacing w:after="0"/>
              <w:rPr>
                <w:sz w:val="17"/>
                <w:szCs w:val="17"/>
                <w:color w:val="auto"/>
              </w:rPr>
            </w:pPr>
          </w:p>
        </w:tc>
      </w:tr>
      <w:tr>
        <w:trPr>
          <w:trHeight w:val="203"/>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 net</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2,973,134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3,053,852</w:t>
            </w:r>
          </w:p>
        </w:tc>
        <w:tc>
          <w:tcPr>
            <w:tcW w:w="100" w:type="dxa"/>
            <w:vAlign w:val="bottom"/>
            <w:shd w:val="clear" w:color="auto" w:fill="CCEEFF"/>
          </w:tcPr>
          <w:p>
            <w:pPr>
              <w:spacing w:after="0"/>
              <w:rPr>
                <w:sz w:val="17"/>
                <w:szCs w:val="17"/>
                <w:color w:val="auto"/>
              </w:rPr>
            </w:pPr>
          </w:p>
        </w:tc>
      </w:tr>
      <w:tr>
        <w:trPr>
          <w:trHeight w:val="203"/>
        </w:trPr>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234,973</w:t>
            </w:r>
          </w:p>
        </w:tc>
        <w:tc>
          <w:tcPr>
            <w:tcW w:w="100" w:type="dxa"/>
            <w:vAlign w:val="bottom"/>
          </w:tcPr>
          <w:p>
            <w:pPr>
              <w:spacing w:after="0"/>
              <w:rPr>
                <w:sz w:val="17"/>
                <w:szCs w:val="17"/>
                <w:color w:val="auto"/>
              </w:rPr>
            </w:pPr>
          </w:p>
        </w:tc>
      </w:tr>
      <w:tr>
        <w:trPr>
          <w:trHeight w:val="203"/>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Assets held for sale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649,884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03"/>
        </w:trPr>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assets - discontinued operations</w:t>
            </w:r>
          </w:p>
        </w:tc>
        <w:tc>
          <w:tcPr>
            <w:tcW w:w="2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95,861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348,988</w:t>
            </w:r>
          </w:p>
        </w:tc>
        <w:tc>
          <w:tcPr>
            <w:tcW w:w="100" w:type="dxa"/>
            <w:vAlign w:val="bottom"/>
          </w:tcPr>
          <w:p>
            <w:pPr>
              <w:spacing w:after="0"/>
              <w:rPr>
                <w:sz w:val="17"/>
                <w:szCs w:val="17"/>
                <w:color w:val="auto"/>
              </w:rPr>
            </w:pPr>
          </w:p>
        </w:tc>
      </w:tr>
      <w:tr>
        <w:trPr>
          <w:trHeight w:val="19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current assets</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13,641,149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13,212,077</w:t>
            </w:r>
          </w:p>
        </w:tc>
        <w:tc>
          <w:tcPr>
            <w:tcW w:w="10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sectPr>
          <w:pgSz w:w="11900" w:h="16838" w:orient="portrait"/>
          <w:cols w:equalWidth="0" w:num="1">
            <w:col w:w="10960"/>
          </w:cols>
          <w:pgMar w:left="460" w:top="121" w:right="479" w:bottom="1440" w:gutter="0" w:footer="0" w:header="0"/>
        </w:sectPr>
      </w:pPr>
    </w:p>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6087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28905"/>
                    </a:xfrm>
                    <a:prstGeom prst="rect">
                      <a:avLst/>
                    </a:prstGeom>
                    <a:noFill/>
                  </pic:spPr>
                </pic:pic>
              </a:graphicData>
            </a:graphic>
          </wp:anchor>
        </w:drawing>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Right of use assets, operating leases, net</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Right of use assets, finance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696087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2890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Other amortizable intangible assets, net</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Tradenames and other unamortizable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69608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03"/>
        </w:trPr>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6"/>
              </w:rPr>
              <w:t>7,000,015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7,921,561</w:t>
            </w:r>
          </w:p>
        </w:tc>
      </w:tr>
      <w:tr>
        <w:trPr>
          <w:trHeight w:val="203"/>
        </w:trPr>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28,519</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152,425</w:t>
            </w:r>
          </w:p>
        </w:tc>
      </w:tr>
      <w:tr>
        <w:trPr>
          <w:trHeight w:val="210"/>
        </w:trPr>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436,403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570,323</w:t>
            </w:r>
          </w:p>
        </w:tc>
      </w:tr>
    </w:tbl>
    <w:p>
      <w:pPr>
        <w:ind w:left="2600" w:hanging="1236"/>
        <w:spacing w:after="0"/>
        <w:tabs>
          <w:tab w:leader="none" w:pos="2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30,994</w:t>
      </w:r>
    </w:p>
    <w:p>
      <w:pPr>
        <w:spacing w:after="0" w:line="18"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217,0001,532,822</w:t>
      </w:r>
    </w:p>
    <w:p>
      <w:pPr>
        <w:spacing w:after="0" w:line="24" w:lineRule="exact"/>
        <w:rPr>
          <w:sz w:val="20"/>
          <w:szCs w:val="20"/>
          <w:color w:val="auto"/>
        </w:rPr>
      </w:pPr>
    </w:p>
    <w:p>
      <w:pPr>
        <w:spacing w:after="0"/>
        <w:tabs>
          <w:tab w:leader="none" w:pos="660" w:val="left"/>
          <w:tab w:leader="none" w:pos="1620" w:val="left"/>
          <w:tab w:leader="none" w:pos="23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21,323,086</w:t>
        <w:tab/>
        <w:t>$</w:t>
      </w:r>
      <w:r>
        <w:rPr>
          <w:sz w:val="20"/>
          <w:szCs w:val="20"/>
          <w:color w:val="auto"/>
        </w:rPr>
        <w:tab/>
      </w:r>
      <w:r>
        <w:rPr>
          <w:rFonts w:ascii="Times New Roman" w:cs="Times New Roman" w:eastAsia="Times New Roman" w:hAnsi="Times New Roman"/>
          <w:sz w:val="16"/>
          <w:szCs w:val="16"/>
          <w:color w:val="auto"/>
        </w:rPr>
        <w:t>23,420,202</w:t>
      </w:r>
    </w:p>
    <w:p>
      <w:pPr>
        <w:spacing w:after="0" w:line="33" w:lineRule="exact"/>
        <w:rPr>
          <w:sz w:val="20"/>
          <w:szCs w:val="20"/>
          <w:color w:val="auto"/>
        </w:rPr>
      </w:pPr>
    </w:p>
    <w:p>
      <w:pPr>
        <w:sectPr>
          <w:pgSz w:w="11900" w:h="16838" w:orient="portrait"/>
          <w:cols w:equalWidth="0" w:num="2">
            <w:col w:w="7080" w:space="720"/>
            <w:col w:w="3160"/>
          </w:cols>
          <w:pgMar w:left="460" w:top="121" w:right="4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6,252,951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6,832,201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separation costs, related parties, current portion</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1,312,837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1,556,231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Line of Credit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appreciation rights liability</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Notes payable - current portion</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Lease liability - operating leases, current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liability - finance leases, current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liabilities - discontinued operations</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8,640,993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16,412,609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 payable, net of discount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separation costs, related parties, non-current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liability - operating leases, non-current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Lease liability - finance leases, non-current</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219,266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18,517,672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16,833,139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&amp; Contingencies (see note 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52,538,100 and 49,427,297 shares issued,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and 49,714,929 and 46,589,717 shares outstanding at December 31, 2023 and December 31, 2022, respectively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42,762,811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42,189,471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to be issued, 0 and 1,499,940 shares at December 31, 2023 and December 31, 2022, respectively</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Treasury stock: 2,623,171 shares outstanding at December 31, 2023 and December 31, 2022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(1,141,370)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(1,141,370)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(38,821,278)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(34,466,126)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2,805,414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21,323,086</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23,420,202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Index</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08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72,218,996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78,904,175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54,693,359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61,377,384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17,525,637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 costs - executive officers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(3,253,599)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(876,452)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sale of subsidiaries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leasing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contingent liability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investment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(889,589)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(4,143,188)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(1,119,452)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(4,159,022)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(1,119,452)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(196,130)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(230,550)</w:t>
            </w: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(4,355,152)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(1,350,002)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from continuing operations - basic</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from continuing operations - diluted</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basic</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diluted</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49,076,880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47,129,511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0" w:type="dxa"/>
            <w:vAlign w:val="bottom"/>
            <w:gridSpan w:val="2"/>
          </w:tcPr>
          <w:p>
            <w:pPr>
              <w:spacing w:after="0"/>
              <w:rPr>
                <w:sz w:val="17"/>
                <w:szCs w:val="17"/>
                <w:color w:val="auto"/>
              </w:rPr>
            </w:pPr>
          </w:p>
        </w:tc>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49,076,880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47,129,511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8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jc w:val="center"/>
              <w:ind w:left="3410"/>
              <w:spacing w:after="0"/>
              <w:rPr>
                <w:sz w:val="20"/>
                <w:szCs w:val="20"/>
                <w:color w:val="auto"/>
              </w:rPr>
            </w:pPr>
            <w:r>
              <w:rPr>
                <w:rFonts w:ascii="Times New Roman" w:cs="Times New Roman" w:eastAsia="Times New Roman" w:hAnsi="Times New Roman"/>
                <w:sz w:val="18"/>
                <w:szCs w:val="18"/>
                <w:color w:val="auto"/>
                <w:w w:val="99"/>
              </w:rPr>
              <w:t>30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8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gridSpan w:val="3"/>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 be issued</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40" w:type="dxa"/>
            <w:vAlign w:val="bottom"/>
            <w:gridSpan w:val="4"/>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2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2021</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48,114,557</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4,806</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764,774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$ 41,662,710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(33,116,124)</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7,410,098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of vested stock and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1,871,604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516,830</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for services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176,302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59,931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Offering expenses for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previously sold for cash</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to management and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1,136,438</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(1,136,438)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(114)</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employees, previously accrued</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 for year ended December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(1,350,002)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(1,350,002)</w:t>
            </w:r>
          </w:p>
        </w:tc>
        <w:tc>
          <w:tcPr>
            <w:tcW w:w="0" w:type="dxa"/>
            <w:vAlign w:val="bottom"/>
          </w:tcPr>
          <w:p>
            <w:pPr>
              <w:spacing w:after="0"/>
              <w:rPr>
                <w:sz w:val="1"/>
                <w:szCs w:val="1"/>
                <w:color w:val="auto"/>
              </w:rPr>
            </w:pPr>
          </w:p>
        </w:tc>
      </w:tr>
      <w:tr>
        <w:trPr>
          <w:trHeight w:val="158"/>
        </w:trPr>
        <w:tc>
          <w:tcPr>
            <w:tcW w:w="22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31, 2022</w:t>
            </w: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49,427,297</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4,938</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1,499,940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$ 42,189,471</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(34,466,126</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6,587,063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2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49,427,297</w:t>
            </w:r>
          </w:p>
        </w:tc>
        <w:tc>
          <w:tcPr>
            <w:tcW w:w="3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4,938</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1,499,940</w:t>
            </w: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$ 42,189,471</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(34,466,126)</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6,587,063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compensation</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50,658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to management and</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employees from common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1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(875,000)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subscribed</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242,654</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242,654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under severance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167,960</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 employees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267,030</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112,142</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112,169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compensation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678,302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compensation plan</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from</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832,911</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(847,320)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subscribed</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for cashless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57,560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for year ended December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(4,355,152)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(4,355,152)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31, 2023</w:t>
            </w:r>
          </w:p>
        </w:tc>
        <w:tc>
          <w:tcPr>
            <w:tcW w:w="7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2023</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52,538,100</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5,251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$ 42,762,811</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(38,821,278</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2,805,414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For the Year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(4,355,152)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(1,350,002)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 on contingent liabilities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disposition of asset</w:t>
            </w: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sale of subsidiaries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Impairment of investment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1,315,822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Allowance for slow moving and obsolete inventory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right of use asset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prepaid loan fees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Value of stock appreciation rights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Provision (recoveries) for doubtful accounts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(1,710,716)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 and other current assets, net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(135,593)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(439,336)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separation costs - related parties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1,422,937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(243,149)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(51,756)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(435,562)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(599,086)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(122,403)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received from sale of subsidiaries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received from disposition of asset</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(36,332)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(114,966)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of offering costs for stock previously issued</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received from notes payable, net of costs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3,285,588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(187,611)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Principal payments financing leases</w:t>
            </w: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(88,813)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(176,494)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Principal payments on line of credit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(2,014,333)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Cost of debt financing</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994,831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(509,221)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(1,223,273)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4,899,398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6,122,671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 –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5,327,016</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 – discontinued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95,319</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 –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5,422,335</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4,899,398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802,076</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Increase in right of use assets &amp;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lease for fixed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to Fifth Third Bank paid directly by Maple Mark Bank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value of shares issued, previously accrued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for severance agreement previously accrued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168,000</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Reclassify fixed assets as held for sale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649,984</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0960"/>
          </w:cols>
          <w:pgMar w:left="460" w:top="121" w:right="479" w:bottom="2"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2"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those of Innovative Food Holdings, Inc. and all of its wholly-owned subsidiaries (collectively, the “Company”) and have been prepared in accordance with generally accepted accounting principles pursuant to Regulation S-X of the Securities and Exchange Commission and with the instructions to Form 10-K. All intercompany transactions have been eliminated in consolidation. In the opinion of management, the audited consolidated financial statements reflect all adjustments, including normal recurring adjustments, necessary for fair presentation of the interim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provide difficult-to-find specialty foods primarily to both Professional Chefs and Home Gourmets through our relationships with producers, growers, makers and distributors of these products worldwide. The distribution of these products primarily originates from our three unified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made the decision to focus more on our Business to Business (B2B) activities and less on our Direct to Consumer (D2C) products. Our subsidiaries GROW and Oasis were sold effective December 29, 2023; Haley is being held for sale; and the activities of P Innovations will be abandoned. Our remaining D2C business, primarily operated within iGourmet and Mouth, will be downsized. See note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During the fourth quarter of 2023 we made the decision to discontinue certain of our business activities. Our subsidiaries GROW and Oasis were sold effective December 29, 2023; Haley is being held for sale; and the activities of P Innovations will be abandoned. See note 2. Pursuant to the guidance of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the accounts of these entities have been included in “Net loss from discontinued operations” in our consolidated statements of operations. Additionally, the assets and liabilities of these entities have been presented as discontinued operations in our consolidated balance sheets as of December 31, 2023 and December 31, 2022. See Note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 for accounts receivable, allowance for slow moving and obsolete inventory, income taxes, intangible assets, contingent liabilities,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revenue from product sales (i.e., specialty foodservice and e-commerce), the Company recognizes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brand management services are comprised of fees and/or commissions associated with client sales. Revenue from brand management services are recognized at the point in time when services are rendered to the client.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by from sales for the years ended December 31, 2023 and 2022:</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59,845,130</w:t>
            </w: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64,012,458</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11,220,086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13,964,684</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and Logistic Services</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1,153,780</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927,033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72,218,996</w:t>
            </w: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78,904,175</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 We have also included all payroll costs as cost of goods sold in our leasing and logistics services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included in selling, general, and administrative expenses all other costs which support the Company’s operations, but which are not includable as a cost of sales. These include primarily payroll, facility costs such as rent and utilities, selling expenses such as commissions and advertising, amortization of intangible assets, depreciation, and other administrative costs including professional fees and costs associated with non-cash stock compensation. Advertising costs are expensed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equivalents include all highly liquid debt instruments with original maturities of three months or less which are not securing any corporate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December 31, 2023 and 2022, trade receivables from the Company’s largest customer amounted to 26% and 20%, respectively, of total trade receivables. During the year ended December 31, 2023 and 2022, sales from the Company’s largest customer amounted to 47% and 49% of total sales,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December 31, 2023 and 2022, the total cash in excess of these limits was $988,825 and $3,205,568,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provides an allowance for doubtful accounts equal to the estimated uncollectible amounts pursuant to the guidance of Accounting Standards Update (ASU) 2016-13, Financial Instruments – Credit Losses (Topic 326) as codified in Accounts Standards Codification (ASC) 326, Financial Instruments – Credit Losses.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$46,477 and $340,225 at December 31, 2023, and 2022,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that the Company plans to sell within the next year. Long-lived assets that meet the held for sale criteria are held for sale and reported at the lower of their carrying value or fair value, less estimated costs to sell. If the determination is made that the Company no longer expects to sell an asset within the next year, the asset is reclassified out of assets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valued at cost. Depreciation is provided over the estimated useful lives up to five years using the straight-line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on a straight-line basis over the term of the 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service lives of property and equipment are as follows:</w:t>
      </w:r>
    </w:p>
    <w:p>
      <w:pPr>
        <w:sectPr>
          <w:pgSz w:w="11900" w:h="16838" w:orient="portrait"/>
          <w:cols w:equalWidth="0" w:num="1">
            <w:col w:w="10960"/>
          </w:cols>
          <w:pgMar w:left="460" w:top="121" w:right="47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Warehouse Equipment - Heavy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Furniture and Fixtures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200" w:lineRule="exact"/>
        <w:rPr>
          <w:sz w:val="20"/>
          <w:szCs w:val="20"/>
          <w:color w:val="auto"/>
        </w:rPr>
      </w:pPr>
    </w:p>
    <w:p>
      <w:pPr>
        <w:sectPr>
          <w:pgSz w:w="11900" w:h="16838" w:orient="portrait"/>
          <w:cols w:equalWidth="0" w:num="2">
            <w:col w:w="3800" w:space="720"/>
            <w:col w:w="6440"/>
          </w:cols>
          <w:pgMar w:left="460" w:top="121" w:right="4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valued at the lower of cost or market and is determined by the first-in, first-out method. In addition to an allowance for obsolete or slow moving inventory, the Company adjusts inventory based upon bi-weekly cycle counts and upon the expiration date of food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the date of purchase. The Company records a liability for unredeemed gift cards and advance payments for monthly club memberships as cash is received, and the liability is reduced when the card is redeemed or the product delivered.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as reported on the Company’s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1,631,406</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3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(1,909,122)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1,556,231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3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3,162,005</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(3,405,399)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0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1,312,837</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100" w:type="dxa"/>
            <w:vAlign w:val="bottom"/>
          </w:tcPr>
          <w:p>
            <w:pPr>
              <w:spacing w:after="0"/>
              <w:rPr>
                <w:sz w:val="24"/>
                <w:szCs w:val="24"/>
                <w:color w:val="auto"/>
              </w:rPr>
            </w:pPr>
          </w:p>
        </w:tc>
        <w:tc>
          <w:tcPr>
            <w:tcW w:w="336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jc w:val="right"/>
              <w:ind w:right="263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in accordance with ASC 740. The Company recognizes deferred tax liabilities and assets for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The components of the deferred tax assets and liabilities are classified as current and non-current based on their characteristics. A valuation allowance is provided for certain deferred tax assets if it is more likely than not that the Company will not realize tax assets through future operations. This standard was adopted by the Company effective January 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accounts receivable, notes payable, line of credit, accounts payable and accrued expenses, none of which is held for trading, approximates their estimated fair values due to the short-term maturities of those financial instruments.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ASC 820-10, “Fair Value Measurements”, which provides a framework for measuring fair value under GAAP.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requires that valuation techniques maximize the use of observable inputs and minimize the use of unobservable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Company reviews its property and equipment and any identifiable intangibles for impairment whenever events or changes in circumstances indicate that the carrying amount of an asset may not be recoverable. The recoverability of assets to be held and used is measured by a comparison of the carrying amount of an asset to the future undiscounted operating cash flow expected to be generated by the asset. If such assets are considered to be impaired, the impairment to be recognized is measured by the amount by which the carrying amount of the asset exceeds the fair value of the asset. Long-lived assets to be disposed of are reported at the lower of carrying amount or fair value less costs to sell. During the year ended December 31, 2023, the Company made the strategic decision to allocate fewer resources to our D2C products; pursuant to this decision, we made the determination that the carrying value of the tradenames held by our subsidiaries iGourmet and Mouth could not be recovered. Accordingly, the Company recorded impairment charges in the amounts of $1,055,400 and $260,422 against the tradenames held by iGourmet and Mouth, respectively, reducing the carrying value of these intangible assets to $0.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Method Investments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made several investments in early stage private food related companies and are accounting for these investments under the cost method. At December 31, 2022, the Company made the determination that it was unlikely to recover the cost of these investments, and recorded an impairment in the amount of $286,725.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Income Per Share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 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December 31, 2023:</w:t>
      </w:r>
    </w:p>
    <w:p>
      <w:pPr>
        <w:spacing w:after="0" w:line="158"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00" w:type="dxa"/>
            <w:vAlign w:val="bottom"/>
          </w:tcPr>
          <w:p>
            <w:pPr>
              <w:spacing w:after="0"/>
              <w:rPr>
                <w:sz w:val="20"/>
                <w:szCs w:val="20"/>
                <w:color w:val="auto"/>
              </w:rPr>
            </w:pPr>
          </w:p>
        </w:tc>
      </w:tr>
      <w:tr>
        <w:trPr>
          <w:trHeight w:val="209"/>
        </w:trPr>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r>
      <w:tr>
        <w:trPr>
          <w:trHeight w:val="216"/>
        </w:trPr>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r>
      <w:tr>
        <w:trPr>
          <w:trHeight w:val="20"/>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charged the amount of $293,334 to operations in connection with management stock-based compensation plans. The Company also charged the amount of $112,169 to operations in connection 267,030 shares of common stock granted to three employees as compensation. See note 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December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December 31, 2022:</w:t>
      </w:r>
    </w:p>
    <w:p>
      <w:pPr>
        <w:spacing w:after="0" w:line="158"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00" w:type="dxa"/>
            <w:vAlign w:val="bottom"/>
          </w:tcPr>
          <w:p>
            <w:pPr>
              <w:spacing w:after="0"/>
              <w:rPr>
                <w:sz w:val="20"/>
                <w:szCs w:val="20"/>
                <w:color w:val="auto"/>
              </w:rPr>
            </w:pPr>
          </w:p>
        </w:tc>
      </w:tr>
      <w:tr>
        <w:trPr>
          <w:trHeight w:val="209"/>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16"/>
        </w:trPr>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8"/>
                <w:szCs w:val="18"/>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ectPr>
          <w:pgSz w:w="11900" w:h="16838" w:orient="portrait"/>
          <w:cols w:equalWidth="0" w:num="1">
            <w:col w:w="10960"/>
          </w:cols>
          <w:pgMar w:left="460" w:top="121" w:right="47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obligations to issue the following shares of common stock pursuant to employment agreements: an aggregate total of 2,149,384 shares of common stock with a market value of $561,600 were accrued for issuance to its Chief Executive Officer; of this amount, 381,036 with a market value of $95,414 were withheld for the payment of income taxes, and the net number of shares issuable to the Chief Executive Officer was 1,768,348 with a market value of $466,186. Also during the period an aggregate total of 103,256 shares of common stock with a market value of $40,000 were accrued for issuance to two board members. These restricted stock grants are being amortized over their vesting periods of one to three years. During the year ended December 31, 2022, the total amount of $506,186 was charged to non-cash compensation and $95,414 was charged to cash compensation in connection with these grants.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2023, in connection with an analysis of the Company’s sales mix and profitability by service offering, management made the strategic decision to focus on the Company’s Business to Business (B2B) service offering and to allocate fewer resources to and in some cases to sell certain of the Company’s subsidiaries involved in our Direct to Consumer (D2C) service offerings. Pursuant to this strategy, on December 29, 2023, the Company completed the sales of its Grow and Oasis subsidiaries (see note 3). In addition, Haley is being held for sale, and the operations of P Innovations will be abandoned. We have recorded the accounts of these entities pursuant to the guidance of ASC 205-20 and have classified the accounts of these entities as discontinued operations in the Company’s financial statements for the years ended December 31, 2023 and 2022.</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2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2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 - discontinued operations</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980"/>
          </w:cols>
          <w:pgMar w:left="460" w:top="121" w:right="45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1,242,673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(1,382,983)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(1,393,091)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(196,130)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significant operating and investing cash flow activities in the consolidated statements of cash flows relating to discontinued operations: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(54,459)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(17,285)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29, 2023, the Company sold 100% of the equity interests in Organic Food Brokers, LLC (“OFB, GROW”) and Oasis Sales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“(Oasis”) to a single buyer for a purchase price of $75,000. The Company recorded a loss in the amount of $45,022 on this transaction.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 and 2022, accounts receivable consists of:</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customers</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4,354,203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4,794,570</w:t>
            </w:r>
          </w:p>
        </w:tc>
        <w:tc>
          <w:tcPr>
            <w:tcW w:w="8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(46,477)</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4,307,726</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4,794,570</w:t>
            </w:r>
          </w:p>
        </w:tc>
        <w:tc>
          <w:tcPr>
            <w:tcW w:w="80" w:type="dxa"/>
            <w:vAlign w:val="bottom"/>
            <w:shd w:val="clear" w:color="auto" w:fill="CCEEFF"/>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charged (recovered) the amount of $73,330 and $(1,915), respectively, to bad debt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specialty food products. At December 31, 2023 and 2022, inventory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9"/>
        </w:trPr>
        <w:tc>
          <w:tcPr>
            <w:tcW w:w="11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3,162,716</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3,053,852</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slow moving &amp; obsolete inventory</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(189,582)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 net</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2,973,134</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3,053,852</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2"/>
        </w:trPr>
        <w:tc>
          <w:tcPr>
            <w:tcW w:w="1100" w:type="dxa"/>
            <w:vAlign w:val="bottom"/>
          </w:tcPr>
          <w:p>
            <w:pPr>
              <w:spacing w:after="0"/>
              <w:rPr>
                <w:sz w:val="24"/>
                <w:szCs w:val="24"/>
                <w:color w:val="auto"/>
              </w:rPr>
            </w:pPr>
          </w:p>
        </w:tc>
        <w:tc>
          <w:tcPr>
            <w:tcW w:w="394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Index</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property and equipment at December 31, 2023 and 2022 is as follows: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1,079,512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1,256,895</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6,571,496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7,191,451</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609,018</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378,957</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940,960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1,021,481</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8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9,725,245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10,567,243</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(2,725,230)</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(2,645,682)</w:t>
            </w: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7,000,015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7,921,561</w:t>
            </w:r>
          </w:p>
        </w:tc>
        <w:tc>
          <w:tcPr>
            <w:tcW w:w="80" w:type="dxa"/>
            <w:vAlign w:val="bottom"/>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$392,354 and $379,632 for the years ended December 31, 2023 and 2022, respectively, which is recorded in selling, general &amp; administrating expenses on the Company’s statement of operations. During the year ended December 31, 2023, the Company disposed of a vehicle with a cost of $51,091 and accumulated depreciation of $49,380.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CLASSIFIED AS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classified the land, building, leasehold improvements, and certain equipment located at 28411 Race Track Road, Bonita Springs, Florida, 34135. See note 22. These net book value of these assets consisted of the following at December 31, 2023:</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RIGHT OF USE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expense for the years ended December 31, 2023 and December 31, 2022 was entirely comprised of operating leases and amounted to $58,915 and $78,849, respectively. The Company’s ROU asset amortization for the years ended December 31, 2023 and December 31, 2022 was $51,756 and $66,740, respectively. The difference between the lease expense and the associated ROU asset amortization consists of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 operating leases are summarized below:</w:t>
            </w:r>
          </w:p>
        </w:tc>
        <w:tc>
          <w:tcPr>
            <w:tcW w:w="1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28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152,425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4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Index</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5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0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5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1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(17,131)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(64,987)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5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5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1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the removal of a right of use asset and lease liability in the amount of $72,150 due to the termination of an office lease. During the year ended December 31, 2022, the Company recorded the removal of a right to use asset and lease liability in the amount of $13,216 due to damage to the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(See note 15.) Right of use asset – financing leases are summarized below:</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555,416</w:t>
            </w:r>
          </w:p>
        </w:tc>
        <w:tc>
          <w:tcPr>
            <w:tcW w:w="8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960,274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(523,871)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(389,951)</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436,403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570,323</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right of use assets for the years ended December 31, 2023 and 2022 was $133,920 and $141,216, respectively.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right of use assets and lease liabilities in the amount of $42,500 due to the execution of new financing lease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Index</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forklift dated July 12, 2021 in the original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$16,070 payable in thirty-six monthly installments of $489 including interest at the rate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year ended December 31, 2023, the Company made principal and interest payments 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$5,512 and $354, respectively. During the year ended December</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 the Company made principal and interest payments on this lease obligation in the amounts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$5,192 and $675,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pallet truck dated July 15, 2021 in the original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$5,816 payable in thirty-six monthly installments of $177 including interest at the rate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year ended December 31, 2023, the Company made principal and interest payments 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$1,996 and $128, respectively. During the year ended December</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 the Company made principal and interest payments on this lease obligation in the amounts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$1,879 and $244,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furniture and equipment truck dated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14, 2020 in the original amount of $514,173 payable in sixty monthly installments of $9,942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interest at the rate of 6.01%. During the year ended December 31, 2023, the Company made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 of $104,019 and $15,289,</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During the year ended December 31, 2022, the Company made principal and interest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 of $97,964 and $21,337,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$152,548 payable in eighty-four monthly installments of $2,188 including interest at the rate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5.44%. During the year ended December 31, 2023, the Company made principal and interest payments 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$21,467 and $4,788, respectively. During the year ended December</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 the Company made principal and interest payments on this lease obligation in the amounts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$20,334 and $5,923,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November 5, 2018 in the original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$128,587 payable in seventy monthly installments of $2,326 including interest at the rate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8.33%. During the year ended December 31, 2023, the Company made principal and interest payments 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$25,252 and $2,657, respectively. During the year ended December</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 the Company made principal and interest payments on this lease obligation in the amounts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$23,240 and $4,669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$80,413 payable in eighty-four monthly installments of $1,148 including interest at the rate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 During the year ended December 31, 2023, the Company made principal and interest payments 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$11,787 and $1,988, respectively. During the year ended December</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 the Company made principal and interest payments on this lease obligation in the amounts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$11,215 and $2,562,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February 4, 2022 in the original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$42,500 payable in twenty-four monthly installments of $1,963 including interest at the rate of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During the year ended December 31, 2023, the Company made principal and interest payments 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$20,032 and $1,564, respectively. During the year ended December</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 the Company made principal and interest payments on this lease obligation in the amounts of</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$16,675 and $740, respectively.</w:t>
            </w: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108" w:right="47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lease liabilities – financing leases as of December 31, 2023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w:t>
      </w:r>
    </w:p>
    <w:p>
      <w:pPr>
        <w:spacing w:after="0" w:line="243"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173,250</w:t>
            </w: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124,232</w:t>
            </w: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33,175</w:t>
            </w: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18"/>
                <w:szCs w:val="18"/>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100" w:type="dxa"/>
            <w:vAlign w:val="bottom"/>
            <w:shd w:val="clear" w:color="auto" w:fill="CCEEFF"/>
          </w:tcPr>
          <w:p>
            <w:pPr>
              <w:spacing w:after="0"/>
              <w:rPr>
                <w:sz w:val="19"/>
                <w:szCs w:val="19"/>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Oasis, igourmet, OFB, Haley, and M Innovations. These assets include non-compete agreements, customer relationships, trade names, internally developed technology, and goodwill. The Company has also capitalized the development of its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Amortizable Intangible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amortizable intangible assets consist of $1,055,400 of trade names held by igourmet, $260,422 of trade names held by Mouth, and $217,000 of trade names held by Artisan. The Company followed the guidance of ASC 360 “Property, Plant, and Equipment” (“ASC 360”) in assessing these assets for impairment. ASC 360 states that impairment testing should be completed whenever events or changes in circumstances indicate the asset’s carrying value may not be recoverable. During the year ended December 31, 2023, the Company made the strategic decision to allocate fewer resources to our D2C products; pursuant to this decision, we made the determination that it was unlikely that the carrying value of tradenames held by igourmet in the amount were recoverable. Accordingly, we recorded impairments to these assets in the amounts of $1,055,400 and $260,422, respectively.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Oasis, igourmet, OFB, Haley, and M Innovations. The following is the net book value of these intangible assets: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3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Technology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(875,643)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(84,000)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38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1,176,643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(959,643)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3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Technology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(875,643)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(53,006)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80" w:type="dxa"/>
            <w:vAlign w:val="bottom"/>
            <w:shd w:val="clear" w:color="auto" w:fill="CCEEFF"/>
          </w:tcPr>
          <w:p>
            <w:pPr>
              <w:spacing w:after="0"/>
              <w:rPr>
                <w:sz w:val="18"/>
                <w:szCs w:val="18"/>
                <w:color w:val="auto"/>
              </w:rPr>
            </w:pPr>
          </w:p>
        </w:tc>
      </w:tr>
      <w:tr>
        <w:trPr>
          <w:trHeight w:val="20"/>
        </w:trPr>
        <w:tc>
          <w:tcPr>
            <w:tcW w:w="38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2,491,925</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(926,649)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1,563,276</w:t>
            </w: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trade names are not considered finite-lived assets and are not being amortized.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2023 and December 31, 2022 are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6,046,396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6,599,675</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commissions</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206,555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232,526</w:t>
            </w:r>
          </w:p>
        </w:tc>
        <w:tc>
          <w:tcPr>
            <w:tcW w:w="8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6,252,951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6,832,201</w:t>
            </w:r>
          </w:p>
        </w:tc>
        <w:tc>
          <w:tcPr>
            <w:tcW w:w="80" w:type="dxa"/>
            <w:vAlign w:val="bottom"/>
            <w:shd w:val="clear" w:color="auto" w:fill="CCEEFF"/>
          </w:tcPr>
          <w:p>
            <w:pPr>
              <w:spacing w:after="0"/>
              <w:rPr>
                <w:sz w:val="19"/>
                <w:szCs w:val="19"/>
                <w:color w:val="auto"/>
              </w:rPr>
            </w:pP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ACCRUED SEPARATION COSTS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with Sam Klepfish (the “SK Agreements”),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(see note 16); in addition, for delivery on June 1, 2027 of additional shares of the Company’s common stock equal to the greater of (i) the number of shares with an aggregate fair market value of $400,000 on such date, or (ii) 266,666 shares. The Company also agreed to pay a total of $1,199 of Cobra insurance costs on behalf of Mr. Klepfish over eighteen months. The total amount accrued in connection with the SK Agreements was $1,819,199.</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2023, the Company entered into a separation agreement (the “Wiernasz Separation Agreement”) with Justin Wiernasz, its prior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2024, the Company entered into a separation agreement with Richard Tang, its Chief Financial Officer (the “Tang Separation Agreement”) effective as of December 31, 2023. Pursuant to the Tang Separation Agreement, the Company will pay to Mr. Tang, in equal installments over a five month period, the gross sum of $113,918. In addition, Mr. Tang may submit for reimbursement up to $4,000 of legal expenses connected with the review of this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Tang timely elects to continue his group health insurance benefits under the Consolidated Omnibus Reconciliation Act (“COBRA”), the Company will reimburse Tang’s group health insurance premiums (“COBRA Premiums”) for the lesser of: (a) the period of time Employee is eligible to continue his group health insurance benefits under COBRA and (b) the five-month period immediately following the Separation Date. Reimbursements will be paid within thirty days of when Tang submits a request for reimbursement and supporting documentation.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made the following payments in connection with the SK Agreements: The Company paid cash in the amount of $525,643 to Mr. Klepfish and made Cobra payments on behalf of Mr. Klepfish in the amount of $200. The Company also issued 400,000 shares of common stock with a fair value of $168,000.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made the following payments in connection with the Wiernasz Separation Agreement: The Company paid cash in the amount of $100,000 and made Cobra payments on behalf of Mr. Weirnasz in the amount of $25,484.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did not make any payments in connection with the Tan Separation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Index</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December 31, 2023: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Paid / Issued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(275,643)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724,357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333,332</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 June 1, 2027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Mr. Klepfish</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(693,643)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1,125,556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334,531</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Wiernasz:</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three equal payments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Wiernasz</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(125,484)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over seventeen weeks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113,918</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113,918</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five months</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Mr. Tang</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2,074,063</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(819,127)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1,254,936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463,911</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STOCK APPRECIATION RIGHTS LIABILITY</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See note 16.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December 31, 2023, the Smallwood SARs had a fair value of $255,020; the increase in fair value in the amount $245,226 was charged to non-cash compensation during the year ended 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REVOLVING CREDIT FACILITIES</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3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revolving credit facility (the “MapleMark Revolver”) with</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Bank ("MapleMark”) in the initial amount of $2,014,333. The borrowing base amount is</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upon 80% of eligible accounts receivables and 60% of eligible inventory. This amount was paid by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directly to Fifth Third Bank in satisfaction of the Fifth Third Bank Line of Credit. Any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borrowed under the MapleMark Revolver will bear interest at the greater of (a) the Base Rate</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rate of interest per annum quoted in the “Money Rates” section of The Wall Street Journal from time</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time and designated as the “Prime Rate”) plus 0.25% per annum and (b) 3.50% per annum. At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the interest rate was 8.50%. The MapleMark Revolver originally was due to mature</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May 27, 2023. The Company applied for a USDA Guarantee and on June 9, 2023, this guarantee was</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At this time, the Revolver was expanded to $3,000,000 and its term extended to May 27, 2024.</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MapleMark Revolver contains certain negative covenants. During the years ended December 31,</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and 2022, the Company paid interest in the amount of $115,429 and $71,145, respectively, on the</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Revolver. During the year ended December 31, 2023, the Company made a principal payment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amount of $2,014,333 on the MapleMark Revolver. At December 31, 2023, this loan has been fully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satisfied. The amount of $2,014,333 is available to the Company under the MapleMark Revolver at</w:t>
            </w:r>
          </w:p>
        </w:tc>
        <w:tc>
          <w:tcPr>
            <w:tcW w:w="80" w:type="dxa"/>
            <w:vAlign w:val="bottom"/>
            <w:vMerge w:val="restart"/>
            <w:shd w:val="clear" w:color="auto" w:fill="CCEEFF"/>
          </w:tcPr>
          <w:p>
            <w:pPr>
              <w:spacing w:after="0"/>
              <w:rPr>
                <w:sz w:val="18"/>
                <w:szCs w:val="18"/>
                <w:color w:val="auto"/>
              </w:rPr>
            </w:pPr>
          </w:p>
        </w:tc>
        <w:tc>
          <w:tcPr>
            <w:tcW w:w="1300" w:type="dxa"/>
            <w:vAlign w:val="bottom"/>
            <w:vMerge w:val="restart"/>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700" w:type="dxa"/>
            <w:vAlign w:val="bottom"/>
            <w:tcBorders>
              <w:top w:val="single" w:sz="8" w:color="CCEEFF"/>
            </w:tcBorders>
          </w:tcPr>
          <w:p>
            <w:pPr>
              <w:jc w:val="right"/>
              <w:ind w:right="205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NOTES PAYABLE</w:t>
      </w:r>
    </w:p>
    <w:p>
      <w:pPr>
        <w:spacing w:after="0" w:line="225"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60870" cy="5212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0870" cy="52120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1”) for the original amount of $5,324,733. This amount was paid by MapleMark directly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Bank in satisfaction of the outstanding principal and interest due under existing loans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Bank.</w:t>
      </w:r>
    </w:p>
    <w:p>
      <w:pPr>
        <w:spacing w:after="0" w:line="207" w:lineRule="exact"/>
        <w:rPr>
          <w:sz w:val="20"/>
          <w:szCs w:val="20"/>
          <w:color w:val="auto"/>
        </w:rPr>
      </w:pPr>
    </w:p>
    <w:p>
      <w:pPr>
        <w:ind w:right="3300"/>
        <w:spacing w:after="0" w:line="266" w:lineRule="auto"/>
        <w:rPr>
          <w:sz w:val="20"/>
          <w:szCs w:val="20"/>
          <w:color w:val="auto"/>
        </w:rPr>
      </w:pPr>
      <w:r>
        <w:rPr>
          <w:rFonts w:ascii="Times New Roman" w:cs="Times New Roman" w:eastAsia="Times New Roman" w:hAnsi="Times New Roman"/>
          <w:sz w:val="18"/>
          <w:szCs w:val="18"/>
          <w:color w:val="auto"/>
        </w:rPr>
        <w:t>Amounts outstanding under the Term Loans accrued interest at the rate equal to the lesser of (a) the Maximum Lawful Rate, or (b) the greater of (i) WSJP (the “Prime Rate” as published by The Wall Street Journal) plus 1.25% per annum or (ii) 4.50% per annum.</w:t>
      </w:r>
    </w:p>
    <w:p>
      <w:pPr>
        <w:spacing w:after="0" w:line="176" w:lineRule="exact"/>
        <w:rPr>
          <w:sz w:val="20"/>
          <w:szCs w:val="20"/>
          <w:color w:val="auto"/>
        </w:rPr>
      </w:pPr>
    </w:p>
    <w:p>
      <w:pPr>
        <w:ind w:right="3240"/>
        <w:spacing w:after="0" w:line="254" w:lineRule="auto"/>
        <w:rPr>
          <w:sz w:val="20"/>
          <w:szCs w:val="20"/>
          <w:color w:val="auto"/>
        </w:rPr>
      </w:pPr>
      <w:r>
        <w:rPr>
          <w:rFonts w:ascii="Times New Roman" w:cs="Times New Roman" w:eastAsia="Times New Roman" w:hAnsi="Times New Roman"/>
          <w:sz w:val="18"/>
          <w:szCs w:val="18"/>
          <w:color w:val="auto"/>
        </w:rPr>
        <w:t>At December 31, 2022, the interest rate was 8.75%. The MapleMark loan was originally due to mature on May 27, 2023. and in the event United States Department of Agriculture issues a guarantee of repayment of the MapleMark loan in favor of the Company pursuant to its Business and Industry Loan Guarantee Program (the “USDA Guarantee”), at the Company’s option, the amount of the MapleMark loan can be expanded to $7,420,000. Upon approval of the USDA Loan Guarantee on June 9, 2023, the Company refinanced its term loans with MapleMark Bank. On June 14, 2023, the Company paid the principal and interest due on the MapleMark Term Loan 1 in the amount of $5,324,733 and $61,715, respectively, with proceeds of the MapleMark Term Loan 3 (see below).</w:t>
      </w:r>
    </w:p>
    <w:p>
      <w:pPr>
        <w:spacing w:after="0" w:line="192" w:lineRule="exact"/>
        <w:rPr>
          <w:sz w:val="20"/>
          <w:szCs w:val="20"/>
          <w:color w:val="auto"/>
        </w:rPr>
      </w:pPr>
    </w:p>
    <w:p>
      <w:pPr>
        <w:ind w:right="3180"/>
        <w:spacing w:after="0" w:line="252" w:lineRule="auto"/>
        <w:rPr>
          <w:sz w:val="20"/>
          <w:szCs w:val="20"/>
          <w:color w:val="auto"/>
        </w:rPr>
      </w:pPr>
      <w:r>
        <w:rPr>
          <w:rFonts w:ascii="Times New Roman" w:cs="Times New Roman" w:eastAsia="Times New Roman" w:hAnsi="Times New Roman"/>
          <w:sz w:val="18"/>
          <w:szCs w:val="18"/>
          <w:color w:val="auto"/>
        </w:rPr>
        <w:t>The Maple Mark Term Loan 1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recorded a discount to this loan in the amount of $57,106 in connection with financing</w:t>
            </w: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costs which was amortized to interest expense during the year ended December 31, 2022. During the year</w:t>
            </w: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ended December 31, 2023, the Company accrued interest in the amount of $221,176 on the MapleMark</w:t>
            </w: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Term Loan 1. At December 31, 2023, this loan has been fully satisfied.</w:t>
            </w: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5,324,733</w:t>
            </w:r>
          </w:p>
        </w:tc>
      </w:tr>
      <w:tr>
        <w:trPr>
          <w:trHeight w:val="432"/>
        </w:trPr>
        <w:tc>
          <w:tcPr>
            <w:tcW w:w="770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60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860"/>
          </w:cols>
          <w:pgMar w:left="460" w:top="121" w:right="5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Index</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13, 2023, the Company entered into a term loan with MapleMark Bank (the “MapleMark Term</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3”) in the amount of $9,057,840. Principal and interest due on the MapleMark Term Loan 1 in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of $5,324,733 and $61,715, respectively, were paid with proceeds of the MapleMark Term Loan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The MapleMark Term Loan 3 is payable in monthly installments of $80,025 commencing July 1, 2023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continuing through June 13, 2048.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outstanding under the Maple Mark Term Loan 3 will bear interest at the rate equal to the lesser</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 the Maximum Lawful Rate, or (b) the greater of (i) WSJP (the “Prime Rate” as published by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Wall Street Journal) plus 1.25% per annum or (ii) 4.50% per annum. At December 31, 2023, the interest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was 9.50%. The MapleMark Term Loan 3 matures on June 13, 2048.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MapleMark Term Loan 3 contains negative covenants that, subject to certain exceptions, limits the</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ability of the Company and its subsidiaries to, among other things, incur additional indebtedness, make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payments, pledge their assets as security, make investments, loans, advances, guarantees and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undergo fundamental changes and enter into transactions with affiliates. The Term Loan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 also provides that the Company and its subsidiaries on a consolidated basis, meet a Fixed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Coverage Ratio as described in detail in the Loan Agreements. The Term Loan Agreements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 events of default that are customary for a facility of this nature, including (subject in certain cases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 grace periods and thresholds) nonpayment of principal, nonpayment of interest, fees or other amounts,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inaccuracy of representations and warranties, violation of covenants, cross-default to certain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existing indebtedness, bankruptcy or insolvency events, and certain judgment defaults as specified in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Term Loan Agreements. If an event of default occurs, the maturity of the amounts owed under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Agreements may be accelerated. The obligations under the Term Loan Agreements are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guaranteed by the Company and IFP and are secured by mortgages on their real estate located in Florida,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and Pennsylvania and substantially all of their assets, in each case, subject to certain exceptions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permitted liens.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 created a discount on the MapleMark Term Loan 3 for costs in the amount of $385,803</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which will be amortized over the life of the loan. During the year ended December 31, 2023, the Company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$3,297 of these costs to interest expense. During the year ended December 31, 2023,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made principal payments in the amount of $72,198 on this loan. During the year ended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the Company accrued interest in the amount of $485,956 on the MapleMark term</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3. At December 31, 2023, accrued interest on this note was $75,442.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8,985,642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jc w:val="right"/>
              <w:ind w:right="216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198" w:lineRule="exact"/>
        <w:rPr>
          <w:sz w:val="20"/>
          <w:szCs w:val="20"/>
          <w:color w:val="auto"/>
        </w:rPr>
      </w:pPr>
    </w:p>
    <w:p>
      <w:pPr>
        <w:ind w:right="3300"/>
        <w:spacing w:after="0" w:line="254" w:lineRule="auto"/>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 Term Loan 2”) for the original amount of $356,800. This amount was paid by MapleMark directly to Fifth Third Bank in satisfaction of the outstanding principal and interest due under existing loans with Fifth Third Bank. The MapleMark Term Loan 2 originally matured on May 27, 2023. On June 9, 2023, the USDA approved the Guarantee of MapleMark Term Loan 1 which allowed the Company to extend the term of the MapleMark Term Loan 2 from May 27, 2023 to May 27, 2033 with monthly payments in the amount of approximately $2,311 commencing July 1, 2023 and continuing through June 1, 2033. On July 1, 2033, a final payment in the amount of approximately $303,536 will be due on the MapleMark Term Loan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-1239520</wp:posOffset>
            </wp:positionV>
            <wp:extent cx="6960870" cy="4251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0870" cy="4251960"/>
                    </a:xfrm>
                    <a:prstGeom prst="rect">
                      <a:avLst/>
                    </a:prstGeom>
                    <a:noFill/>
                  </pic:spPr>
                </pic:pic>
              </a:graphicData>
            </a:graphic>
          </wp:anchor>
        </w:drawing>
      </w:r>
    </w:p>
    <w:p>
      <w:pPr>
        <w:spacing w:after="0" w:line="168" w:lineRule="exact"/>
        <w:rPr>
          <w:sz w:val="20"/>
          <w:szCs w:val="20"/>
          <w:color w:val="auto"/>
        </w:rPr>
      </w:pPr>
    </w:p>
    <w:p>
      <w:pPr>
        <w:ind w:right="3280"/>
        <w:spacing w:after="0" w:line="252" w:lineRule="auto"/>
        <w:rPr>
          <w:sz w:val="20"/>
          <w:szCs w:val="20"/>
          <w:color w:val="auto"/>
        </w:rPr>
      </w:pPr>
      <w:r>
        <w:rPr>
          <w:rFonts w:ascii="Times New Roman" w:cs="Times New Roman" w:eastAsia="Times New Roman" w:hAnsi="Times New Roman"/>
          <w:sz w:val="18"/>
          <w:szCs w:val="18"/>
          <w:color w:val="auto"/>
        </w:rPr>
        <w:t>The MapleMark Term Loan 2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recorded a discount to this loan in the amount of $23,367 in connection with financing</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which was amortized to interest expense during the year ended December 31, 2022. During the year</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ended December 31, 2023, the Company made principal payments in the amount of $3,895 on this loan.</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accrued interest in the amount of $27,134 on</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loan. At December 31, 2023, accrued interest on this note was $2,018.</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352,905</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is</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currently accruing interest on this note at 1.9%. During the year ended December 31, 2023, the Company</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in the amount of $378 on this note. At December 31, 2023, accrued interest on this note</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 $18,482.</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121" w:right="479" w:bottom="1440" w:gutter="0" w:footer="0" w:header="0"/>
        </w:sectPr>
      </w:pPr>
    </w:p>
    <w:p>
      <w:pPr>
        <w:ind w:right="880"/>
        <w:spacing w:after="0" w:line="257" w:lineRule="auto"/>
        <w:rPr>
          <w:sz w:val="20"/>
          <w:szCs w:val="20"/>
          <w:color w:val="auto"/>
        </w:rPr>
      </w:pPr>
      <w:r>
        <w:rPr>
          <w:rFonts w:ascii="Times New Roman" w:cs="Times New Roman" w:eastAsia="Times New Roman" w:hAnsi="Times New Roman"/>
          <w:sz w:val="18"/>
          <w:szCs w:val="18"/>
          <w:color w:val="auto"/>
        </w:rPr>
        <w:t>Vehicle acquisition loan dated December 6, 2018 in the original amount of $51,088, payable in sixty monthly installments of $955 including interest at the rate of 4.61% maturing November 5, 2023. During the year ended December 31, 2023, the Company made principal and interest payments in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696087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0870" cy="548640"/>
                    </a:xfrm>
                    <a:prstGeom prst="rect">
                      <a:avLst/>
                    </a:prstGeom>
                    <a:noFill/>
                  </pic:spPr>
                </pic:pic>
              </a:graphicData>
            </a:graphic>
          </wp:anchor>
        </w:drawing>
      </w:r>
    </w:p>
    <w:p>
      <w:pPr>
        <w:spacing w:after="0"/>
        <w:tabs>
          <w:tab w:leader="none" w:pos="7780" w:val="left"/>
        </w:tabs>
        <w:rPr>
          <w:sz w:val="20"/>
          <w:szCs w:val="20"/>
          <w:color w:val="auto"/>
        </w:rPr>
      </w:pPr>
      <w:r>
        <w:rPr>
          <w:rFonts w:ascii="Times New Roman" w:cs="Times New Roman" w:eastAsia="Times New Roman" w:hAnsi="Times New Roman"/>
          <w:sz w:val="18"/>
          <w:szCs w:val="18"/>
          <w:color w:val="auto"/>
        </w:rPr>
        <w:t>$10,267 and $228</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r>
    </w:tbl>
    <w:p>
      <w:pPr>
        <w:spacing w:after="0" w:line="200" w:lineRule="exact"/>
        <w:rPr>
          <w:sz w:val="20"/>
          <w:szCs w:val="20"/>
          <w:color w:val="auto"/>
        </w:rPr>
      </w:pPr>
    </w:p>
    <w:p>
      <w:pPr>
        <w:sectPr>
          <w:pgSz w:w="11900" w:h="16838" w:orient="portrait"/>
          <w:cols w:equalWidth="0" w:num="2">
            <w:col w:w="8440" w:space="720"/>
            <w:col w:w="1800"/>
          </w:cols>
          <w:pgMar w:left="460" w:top="121" w:right="47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9,358,547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p>
        </w:tc>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(382,506)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discount</w:t>
            </w:r>
          </w:p>
        </w:tc>
        <w:tc>
          <w:tcPr>
            <w:tcW w:w="31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Borders>
              <w:top w:val="single" w:sz="8" w:color="CCEEFF"/>
            </w:tcBorders>
          </w:tcPr>
          <w:p>
            <w:pPr>
              <w:spacing w:after="0"/>
              <w:rPr>
                <w:sz w:val="17"/>
                <w:szCs w:val="17"/>
                <w:color w:val="auto"/>
              </w:rPr>
            </w:pPr>
          </w:p>
        </w:tc>
        <w:tc>
          <w:tcPr>
            <w:tcW w:w="3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5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3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5,711,800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 total of $95,942 and $18,104 accrued interest on notes payable at December 31, 2023 and 2022, respectively.</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Index</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maturities of notes payable as of December 31, 2023 are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23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8,714,511</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9,358,547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a total of 2,823,171 and 2,837,580 shares, respectively, were issued but deemed not outstanding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 2023, the Company issued 875,000 shares of common stock, net of 207,839 shares withheld for income taxes, to its previous Chief Financial Officer compensation. These shares were previously accrued and were carried on the Company’s balance sheet as common stock to be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28, 2023, the Company issued 267,030 shares with a value of $112,169 to three employees as compensation.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2023, the Company accrued the issuance of 207,274 shares of common stock with a value of $45,680 to its then officers and directors for compensation. These shares were recorded to common stock to be issued.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26, 2023, the Company issued 400,000 shares of common stock to the previous Chief Executive Officer pursuant to the SK Agreements. See note 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Company accrued the issuance of 15,106 shares of common stock with a value of $5,000 to two directors for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were recorded to common stock to be issued.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7, 2023, the Company issued 178,626 shares of common stock to a designee of its previous Chief Executive Officer as compensation. These shares were previously accrued and were carried on the Company’s balance sheet as common stock to be issued.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31, 2023, the Company issued 14,754 shares of common stock to its previous Director of Strategic Acquisitions as compensation. These shares were previously accrued and were carried on the Company’s balance sheet as common stock to be issued.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6, 2023, the Company issued 236,810 shares of common stock to a board member as compensation. These shares were previously accrued and were carried on the Company’s balance sheet as common stock to be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6, 2023, the Company issued 222,401 shares of common stock, net of 14,409 shares owed to the Company from a previous transaction to a board member as compensation. These shares were previously accrued and were carried on the Company’s balance sheet as common stock to be issued.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6, 2023, the Company issued 320 shares of common stock to a previous employee as compensation. These shares were previously accrued and were carried on the Company’s balance sheet as common stock to be issued.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 2023, the Company issued 30,000 shares of common stock to a service provider as compensation. These shares were previously accrued and were carried on the Company’s balance sheet as common stock to be issued.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7, 2023, the Company issued 678,302 shares of common stock, net of 265,229 shares withheld for income tax purposes, to its Chief Executive Officer pursuant to his compensation plan. The fair value of these shares at the inception of the plan in the amount of $190,072 is charged to operations over the thirty-four month life of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30, 2023, the Company issued the net amount of 57,560 shares of common stock in a cashless exercise of 360,000 options at a price of $0.62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15, 2024, the Company issued 150,000 shares of common stock to a previous director for options previously exercised. These shares were recorded as issued on the Company’s balance sheet effective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8, 2022, the Company issued 33,445 shares with a value of $11,405 to an employee as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25, 2022, the Company issued 142,857 shares with a value of $48,543 to a service provider.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The Smallwood SARs vest upon issuance, and expire on December 31, 2026; 750,000 of the Smallwood SARs are priced at $1.50 per share, and 750,000 are priced at $2.00 per share. It is the Company’s intention to settle the Smallwood SARs in cash. The Smallwood SARs were valued utilizing the Black-Scholes valuation model, and had an aggregate fair value of $9,794 upon issuance. This amount was charged to non-cash compensation and credited to a current liability on the Company’s balance sheet. The Smallwood SARs will be revalued each reporting period and any change in value will be charged to compensation expense. At December 31, 2023, the Smallwood SARs had a fair value of $255,020; the increase in value in the amount of $245,226 was charged to compensation expense. See note 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Smallwood SARs were valued using the Black-Scholes valuation model utilizing the following variables:</w:t>
      </w:r>
    </w:p>
    <w:p>
      <w:pPr>
        <w:spacing w:after="0" w:line="243"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45.0-53.3%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3.67-4.87%</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2.63-2.51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Incentive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Stock Plan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3, 2023, the Company entered into an employment agreement with Bill Bennett to become the Company’s CEO. See note 16.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578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300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2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 Outstanding on</w:t>
            </w:r>
          </w:p>
        </w:tc>
        <w:tc>
          <w:tcPr>
            <w:tcW w:w="2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6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3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0.75%</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0.75%</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20"/>
                <w:szCs w:val="20"/>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CEO Stock Plan had a fair value of $660,541 at inception (see “Stock Plan Valuation” section below). This amount is being amortized over the 34 month life of the plan. During the year ended December 31, 2023, $195,047 of this amount was charged to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first of the price targets under the CEO Stock Plan was achieved, and Mr. Bennett was eligible to receive 943,531 shares of the Company’s common stock. On November 7, 2023, 678,302 of these shares were issued to Mr. Bennet and of 265,229 shares were withheld for income tax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See note 16.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578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300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2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 Outstanding on</w:t>
            </w:r>
          </w:p>
        </w:tc>
        <w:tc>
          <w:tcPr>
            <w:tcW w:w="2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6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3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20"/>
                <w:szCs w:val="20"/>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COO Stock Plan had a fair value of $199,951 at inception (see “Stock Plan Valuation” section below). This amount is being amortized over the 31.5-month life of the plan. During the year ended December 31, 2023, $47,607 of this amount was charged to operations. At December 31, 2023, none of the price targets under the COO Stock Plan have been achieved.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Stock Plan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CFO effective January 1, 2024. See note 16.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578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300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2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 Outstanding on</w:t>
            </w:r>
          </w:p>
        </w:tc>
        <w:tc>
          <w:tcPr>
            <w:tcW w:w="2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6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3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Pr>
          <w:p>
            <w:pPr>
              <w:spacing w:after="0"/>
              <w:rPr>
                <w:sz w:val="20"/>
                <w:szCs w:val="20"/>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CFO Stock Plan had a fair value of $238,747 at inception (see “Stock Plan Valuation” section below). This amount will be amortized over the 30-month life of the plan beginning January 1, 2024. During the year ended December 31, 2023, $0 of this amount was charged to operations. At December 31, 2023, none of the price targets under the COO Stock Plan have been achieved.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of Stock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relied upon the guidance of Statement of Financial Account Standards No. 718 Compensation – Stock Compensation (“ASC 718”) in accounting for the CEO Stock Plan, the COO Stock Plan, and the CFO Stock Plan (collectively, the "Officer Stock Plans”). A Monte Carlo market-based performance stock awards model was used in valuing the plan, with the following assumptions:</w:t>
      </w:r>
    </w:p>
    <w:p>
      <w:pPr>
        <w:spacing w:after="0" w:line="176" w:lineRule="exact"/>
        <w:rPr>
          <w:sz w:val="20"/>
          <w:szCs w:val="20"/>
          <w:color w:val="auto"/>
        </w:rPr>
      </w:pPr>
    </w:p>
    <w:p>
      <w:pPr>
        <w:ind w:left="660" w:right="160" w:hanging="225"/>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61" w:lineRule="exact"/>
        <w:rPr>
          <w:rFonts w:ascii="Times New Roman" w:cs="Times New Roman" w:eastAsia="Times New Roman" w:hAnsi="Times New Roman"/>
          <w:sz w:val="18"/>
          <w:szCs w:val="18"/>
          <w:color w:val="auto"/>
        </w:rPr>
      </w:pPr>
    </w:p>
    <w:p>
      <w:pPr>
        <w:ind w:left="660" w:hanging="22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award the stock upon triggering the thresholds.</w:t>
      </w:r>
    </w:p>
    <w:p>
      <w:pPr>
        <w:spacing w:after="0" w:line="225" w:lineRule="exact"/>
        <w:rPr>
          <w:rFonts w:ascii="Times New Roman" w:cs="Times New Roman" w:eastAsia="Times New Roman" w:hAnsi="Times New Roman"/>
          <w:sz w:val="18"/>
          <w:szCs w:val="18"/>
          <w:color w:val="auto"/>
        </w:rPr>
      </w:pPr>
    </w:p>
    <w:p>
      <w:pPr>
        <w:ind w:left="660" w:right="620" w:hanging="225"/>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attrition or forfeiture rates (i.e., pre–vesting forfeiture assumption) are assumed to be zero given the Holder’s position with the Company.</w:t>
      </w:r>
    </w:p>
    <w:p>
      <w:pPr>
        <w:spacing w:after="0" w:line="161" w:lineRule="exact"/>
        <w:rPr>
          <w:rFonts w:ascii="Times New Roman" w:cs="Times New Roman" w:eastAsia="Times New Roman" w:hAnsi="Times New Roman"/>
          <w:sz w:val="18"/>
          <w:szCs w:val="18"/>
          <w:color w:val="auto"/>
        </w:rPr>
      </w:pPr>
    </w:p>
    <w:p>
      <w:pPr>
        <w:ind w:left="660" w:hanging="22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Projected capital events were included in the adjustments to the shares issued and outstanding in the projected simulations.</w:t>
      </w:r>
    </w:p>
    <w:p>
      <w:pPr>
        <w:spacing w:after="0" w:line="225" w:lineRule="exact"/>
        <w:rPr>
          <w:rFonts w:ascii="Times New Roman" w:cs="Times New Roman" w:eastAsia="Times New Roman" w:hAnsi="Times New Roman"/>
          <w:sz w:val="18"/>
          <w:szCs w:val="18"/>
          <w:color w:val="auto"/>
        </w:rPr>
      </w:pPr>
    </w:p>
    <w:p>
      <w:pPr>
        <w:ind w:left="660" w:hanging="22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Awards/Payouts were discounted at the risk–free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Officer Stock Plans were valued using the following variables:</w:t>
            </w: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103.9%-113.7%</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4.29%-4.45%</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2.63-2.91</w:t>
            </w:r>
          </w:p>
        </w:tc>
        <w:tc>
          <w:tcPr>
            <w:tcW w:w="0" w:type="dxa"/>
            <w:vAlign w:val="bottom"/>
          </w:tcPr>
          <w:p>
            <w:pPr>
              <w:spacing w:after="0"/>
              <w:rPr>
                <w:sz w:val="1"/>
                <w:szCs w:val="1"/>
                <w:color w:val="auto"/>
              </w:rPr>
            </w:pPr>
          </w:p>
        </w:tc>
      </w:tr>
      <w:tr>
        <w:trPr>
          <w:trHeight w:val="41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variables were utilized in valuing the Smallwood SARs:</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45.0-53.3%</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3.67-4.87%</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2.63-2.51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125,000 two-year options with an exercise price of $0.41 per share and a grant date fair value of $1,708 to a service provider.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options vested upon issuance and will expire on April 25, 2024.</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issued 125,000 two-year options with an exercise price of $0.50 per share and a grant date fair value of $384 to a service provider. These options vested upon issuance and will expire on April 25,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 of</w:t>
            </w: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8"/>
        </w:trPr>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2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0" w:type="dxa"/>
            <w:vAlign w:val="bottom"/>
          </w:tcPr>
          <w:p>
            <w:pPr>
              <w:spacing w:after="0"/>
              <w:rPr>
                <w:sz w:val="20"/>
                <w:szCs w:val="20"/>
                <w:color w:val="auto"/>
              </w:rPr>
            </w:pPr>
          </w:p>
        </w:tc>
      </w:tr>
      <w:tr>
        <w:trPr>
          <w:trHeight w:val="209"/>
        </w:trPr>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0" w:type="dxa"/>
            <w:vAlign w:val="bottom"/>
            <w:shd w:val="clear" w:color="auto" w:fill="CCEEFF"/>
          </w:tcPr>
          <w:p>
            <w:pPr>
              <w:spacing w:after="0"/>
              <w:rPr>
                <w:sz w:val="18"/>
                <w:szCs w:val="18"/>
                <w:color w:val="auto"/>
              </w:rPr>
            </w:pPr>
          </w:p>
        </w:tc>
      </w:tr>
      <w:tr>
        <w:trPr>
          <w:trHeight w:val="216"/>
        </w:trPr>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0" w:type="dxa"/>
            <w:vAlign w:val="bottom"/>
          </w:tcPr>
          <w:p>
            <w:pPr>
              <w:spacing w:after="0"/>
              <w:rPr>
                <w:sz w:val="18"/>
                <w:szCs w:val="18"/>
                <w:color w:val="auto"/>
              </w:rPr>
            </w:pPr>
          </w:p>
        </w:tc>
      </w:tr>
      <w:tr>
        <w:trPr>
          <w:trHeight w:val="216"/>
        </w:trPr>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0" w:type="dxa"/>
            <w:vAlign w:val="bottom"/>
            <w:shd w:val="clear" w:color="auto" w:fill="CCEEFF"/>
          </w:tcPr>
          <w:p>
            <w:pPr>
              <w:spacing w:after="0"/>
              <w:rPr>
                <w:sz w:val="18"/>
                <w:szCs w:val="18"/>
                <w:color w:val="auto"/>
              </w:rPr>
            </w:pPr>
          </w:p>
        </w:tc>
      </w:tr>
      <w:tr>
        <w:trPr>
          <w:trHeight w:val="216"/>
        </w:trPr>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(360,000)</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(1,590,000)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December 31, 2023 and 2022 was $77,530 and $0, respectively. Aggregate intrinsic value represents the difference between the Company’s closing stock price on the last trading day of the fiscal period, which was $0.74 and $0.21 as of December 31, 2023 and 2022, respectively, and the exercise price multiplied by the number of options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2022, the Company charged $0 and $8,738, respectively, to operations related to recognized stock-based compensation expense for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at grant dates in relation to the market price during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lower than market price</w:t>
            </w:r>
          </w:p>
        </w:tc>
        <w:tc>
          <w:tcPr>
            <w:tcW w:w="3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exceeded market price</w:t>
            </w:r>
          </w:p>
        </w:tc>
        <w:tc>
          <w:tcPr>
            <w:tcW w:w="15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 to 0.50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9"/>
              </w:rPr>
              <w:t>As of December 31, 2023, and 2022, there were no non-vested options outstanding.</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valued stock options and stock appreciation rights using the Black-Scholes valuation model utilizing the following variables: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95.55-53.30%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24.43%</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5.03-3.67%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Hiring of COO</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14, 2023, the Company entered into an Executive Employment Agreement with Brady Smallwood (the “Smallwood Agreement”). The Smallwood Agreement provides, among other things, for Mr. Smallwood to become the Company’s Chief Operating Officer; employment at-will with an initial term of employment from May 15, 2023 through December 31, 2025 with 9 months of Base Salary as severance payments if terminated without cause or resignation with Good Reason; an annual Base Salary of $300,000 with at least 3% annual increases with additional annual increases; a $29,370 signing bonus; an annual incentive bonus equal to at least $80,000 prorated for partial years; and reimbursement of legal fees up to $5,000. In addition, Mr. Smallwood was initially granted 1,500,000 stock options; on June 8, 2023, this stock option grant was changed to a one-time grant of 1.5 million stock appreciation rights, with 750,000 SARs priced at $1.50 and 750,000 SARs priced at $2.00; and participation in the Company’s benefit plans. Mr. Smallwood is also subject to the Company’s clawback policies and certain restrictive covenants including confidentiality, non-compete and non-solicitation. Mr. Smallwood is also eligible for stock grants based upon the market price of the Company’s common stock; see note 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Hiring of CFO</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December 22, 2023, the board of directors of the Company appointed Mr. Gary Schubert to the position of Chief Financial Officer of the Company, effective January 1, 2024 and on December 29, 2023 the Company entered into an Executive Employment Agreement with Mr. Schubert (the “Schubert Agreement”). The Schubert Agreement provides, among other things, for Mr. Schubert to become the Company’s Chief Financial Officer; employment at-will with an initial term of employment from January 1, 2024 through June 30, 2026 with 9 months of Base Salary as severance payments if terminated without cause or resignation with Good Reason; an annual Base Salary of $280,000 with at least 3% annual increases with additional annual increases; a $30,000 signing bonus; an annual incentive bonus equal to at least $60,000 prorated for partial years; and reimbursement of legal fees up to $5,000. In addition, Mr. Schubert was granted 1,500,000 stock options; on June 8, 2023, this stock option grant was changed to a one-time grant of 1.5 million stock appreciation rights, with 750,000 SARs priced at $1.50 and 750,000 SARs priced at $2.00; and participation in the Company’s benefit plans. Mr. Smallwood is also subject to the Company’s clawback policies and certain restrictive covenants including confidentiality, non-compete and non-solicitation. Mr. Smallwood is also eligible for stock grants based upon the market price of the Company’s common stock; see note 16.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of prior CEO and of a board member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made the following payments in connection with separation agreements with Sam Klepfish, its prior CEO and current board member, and Justin Weirnasz, its prior Director of Strategic Acquisitions and board member. See note 12.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cash in the amount of $525,643 to Mr. Klepfish. The Company also issued 400,000 shares of common stock with a fair value of $168,000.</w:t>
      </w:r>
    </w:p>
    <w:p>
      <w:pPr>
        <w:spacing w:after="0" w:line="1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The Company paid cash in the amount of $100,000 to Mr. Weirnasz and made Cobra payments on behalf of Mr. Weirnasz in the amount of $25,484.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result from the temporary differences primarily attributable to amortization of intangible assets and debt discount and an accumulation of net operating loss carryforwards for income tax purposes with a valuation allowance against the carryforwards for book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Included in deferred tax assets are Federal and State net operating loss carryforwards of approximately $18,500,000 which can be carried forward indefinitely subject to limitation, except $6,742,000 which can be carried forward through 2037.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Due to significant changes in the Company’s ownership, the Company’s future use of its existing net operating losses may be limited.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December 31, 2023 and 2022 consist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64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differs from the amount of income tax determined by applying the applicable statutory income tax rate of 27.6% for the years ended December 31, 2023 and 2022 to the loss before taxes as a result of the following differences: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(4,143,188)</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(benefit) at statutory rate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(1,143,500)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(204,800)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1,151,300</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tax impact of temporary differences between the amounts of assets and liabilities for financial reporting purposes and such amounts as measured by tax laws and regulations.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include the net tax effects of net operating loss (NOL) carryforwards and the temporary differences between the carrying amounts of assets and liabilities for financial reporting purposes and the amounts used for income tax purposes. As of December 31, 2023, and 2023 significant components of the Company’s deferred tax assets are as follows:</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442,000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5,904,000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(5,904,000)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(5,222,700)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returns for the previous three years remain open for audit by the respective tax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September 16, 2019, an action (the “PA Action”) was filed in the Court of Common Pleas of Philadelphia County, Trial Division, against, among others, the Company and its wholly owned subsidiaries, igourmet and Food Innovations, Inc. Since that time, other parties involved in the incident have joined as plaintiffs in the PA Action. The complaint in the PA Action alleges, inter alia, wrongful death and negligence by a driver employed by igourmet and indicates a demand and offer to settle for $50,000,000.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was set for trial for April 1, 2024. See note 22. The Company anticipates that such paperwork will be completed, and that the matter will be officially dismissed, in the second quarter of 2024. The Company and its subsidiaries resolved all liabilities within the coverages of their insurance carriers.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MAJOR CUSTOMERS</w:t>
      </w: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47% and 49% of total sales in each of the years ended December 31, 2023 and 2022. A contract between our subsidiary, Food Innovations, and U.S. Foods entered an optional renewal period in December 2012 but was automatically extended for an additional 12 months in each of January 1, 2013 and 2014. On January 26, 2015 we executed a contract directly between Food Innovations, Inc., our wholly owned subsidiary, and U.S. Foods, Inc. The term of the contract was from January 1, 2015 through December 31, 2016 and provided for a limited number of automatic annual renewals thereafter if no party gives the other 30 days’ notice of its intent not to renew. Based on the terms, the Agreement was extended through December 31, 2018. Effective January 1, 2018 the Agreement was further amended to remove the cap on renewals, and provide for an unlimited number of additional 12-month terms unless either party notifies the other in writing, 30 days prior to the end date, of its intent not to renew. In addition, Gate Gourmet, the leading global provider of airline catering solutions and provisioning services for airlines, in partnership with igourmet, represented 13% and 15% of total sales for the year ended December 31, 2023 and 2022,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financial instruments, including cash, accounts payable and other liabilities, consist primarily of instruments without extended maturities, the fair value of which, based on management’s estimates, reasonably approximate their book value. The fair value of the Company’s stock options is determined using option pricing models.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adoption of ASC 815-40, the Company is required to disclose the fair value measurements required by ASC 820, “Fair Value Measurements and Disclosures.” Hierarchical levels, defined by ASC 820 are directly related to the amount of subjectivity associated with the inputs to fair valuations of these liabilities are as follows:</w:t>
      </w:r>
    </w:p>
    <w:p>
      <w:pPr>
        <w:spacing w:after="0" w:line="17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are unadjusted, quoted prices in active markets for identical assets or liabilities at the measurement date;</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Level 1 inputs that are either directly or indirectly observable; and</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which little or no market data exist, therefore requiring an entity to develop its own assumptions.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the fair value of the Smallwood SARs at each reporting period. At December 31, 2022, the Company did not have financial assets or liabilities that are required to be accounted for at fair value on a 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Lawsuit</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January 5, 2024, all parties to the PA Action came to an agreement at Mediation on the material terms of settlement and on January 22, 2024, a settlement was agreed upon in an action filed in the Court of Common Pleas of Philadelphia County, Trial Division against, among others, the Company and its wholly owned subsidiaries, igourmet and Food Innovations, Inc. On Monday, January 29, 2024, the Company received a settlement and release agreement from certain plaintiffs in the PA Action. The Company and its subsidiaries resolved all liabilities within the coverages of their insurance carriers.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of Office and Change of Primary Address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18, 2024, the Company signed a one-year lease for 1,335 rentable square feet of office space located at 9696 Bonita Beach Road, Bonita Springs, Florida, 34135, and this location became the Company’s primary address. Base rent for the Bonita Beach Road property is $1,891 per month plus approximately $723 in common area maintenance charges.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of Building Held for Sale</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February 14, 2024, the Company closed on the sale of its warehouse located at 28411 Race Track Road, Bonita Springs FL 34135 (the “Warehouse”) to Tag Media Group LLC, dba “Gulf Coast Aluminum” The Warehouse consists of approximately 1.1 acres of land and close to 10,000 square feet of combined office and warehouse space. Pursuant to a purchase and sale agreement between dated December 12, 2023 the Company agreed to sell the Warehouse, certain warehouse racking, and a forklift to Gulf Coast Aluminum for a total purchase price of $2,455,000, prior to customary closing costs. The Company received approximately $1.9 million in net proceeds from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of Haley Food Group Inc.</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27, 2024, the Company entered into a stock for stock exchange agreement whereby we exchanged 100 shares of stock of The Haley Food Group Inc., which represented 100% of Haley’s outstanding stock, for 21,126 shares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57" w:name="page58"/>
    <w:bookmarkEnd w:id="57"/>
    <w:p>
      <w:pPr>
        <w:ind w:left="2"/>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left="2" w:right="20"/>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principal executive officer and principal financial officer, we conducted an evaluation of our disclosure controls and procedures, as such term is defined under Rules 13a-15(e) and 15d-15(e)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We concluded that our disclosure controls and procedures as defined in Rule 13a-15(e) under the Exchange Act were effective as of December 31, 2023 to ensure that information required to be disclosed in reports we file or submit under the Exchange Act is recorded, processed, and summarized and reported within the time periods specified in SEC rules and forms and our disclosure controls and procedures are also effective to ensure that the information required to be disclosed in reports that we file under the Exchange Act is accumulated and communicated to our principal executive and financial officers to allow timely decisions regarding required disclosures.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w:t>
      </w:r>
    </w:p>
    <w:p>
      <w:pPr>
        <w:spacing w:after="0" w:line="27" w:lineRule="exact"/>
        <w:rPr>
          <w:sz w:val="20"/>
          <w:szCs w:val="20"/>
          <w:color w:val="auto"/>
        </w:rPr>
      </w:pPr>
    </w:p>
    <w:p>
      <w:pPr>
        <w:jc w:val="both"/>
        <w:ind w:left="2" w:right="20" w:hanging="2"/>
        <w:spacing w:after="0" w:line="250" w:lineRule="auto"/>
        <w:tabs>
          <w:tab w:leader="none" w:pos="2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Our internal control over financial reporting are designed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w:t>
      </w:r>
    </w:p>
    <w:p>
      <w:pPr>
        <w:spacing w:after="0" w:line="1" w:lineRule="exact"/>
        <w:rPr>
          <w:rFonts w:ascii="Times New Roman" w:cs="Times New Roman" w:eastAsia="Times New Roman" w:hAnsi="Times New Roman"/>
          <w:sz w:val="18"/>
          <w:szCs w:val="18"/>
          <w:color w:val="auto"/>
        </w:rPr>
      </w:pPr>
    </w:p>
    <w:p>
      <w:pPr>
        <w:ind w:left="222" w:hanging="222"/>
        <w:spacing w:after="0"/>
        <w:tabs>
          <w:tab w:leader="none" w:pos="2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9" w:lineRule="exact"/>
        <w:rPr>
          <w:rFonts w:ascii="Times New Roman" w:cs="Times New Roman" w:eastAsia="Times New Roman" w:hAnsi="Times New Roman"/>
          <w:sz w:val="18"/>
          <w:szCs w:val="18"/>
          <w:color w:val="auto"/>
        </w:rPr>
      </w:pPr>
    </w:p>
    <w:p>
      <w:pPr>
        <w:jc w:val="both"/>
        <w:ind w:left="2" w:right="20" w:hanging="2"/>
        <w:spacing w:after="0" w:line="250" w:lineRule="auto"/>
        <w:tabs>
          <w:tab w:leader="none" w:pos="2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the preparation of our consolidated financial statements in accordance with U.S. generally accepted accounting principles, and 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2" w:right="20" w:hanging="2"/>
        <w:spacing w:after="0" w:line="260" w:lineRule="auto"/>
        <w:tabs>
          <w:tab w:leader="none" w:pos="3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81"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2023. In making this assessment, management used the criteria set forth in Internal Control Over Financial Reporting — Guidance for Smaller Public Companies issued by the Committee of Sponsoring Organizations of the Treadway Commission (2013). Management previously identified a control deficiency regarding the integration of two acquisitions in 2018 and as a result management had previously concluded our internal control over financial reporting was ineffective at the reasonable assurance level. To address this matter, we named a new Chief Financial Officer effective December 29, 2020 and also retained additional qualified personnel. As a result, Management concluded that the Company’s internal control over financial reporting as of December 31, 2023 is effective at the reasonable assurance level.</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29"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 Accordingly, our internal controls and procedures are designed to provide reasonable assurance of achieving their objectives.</w:t>
      </w:r>
    </w:p>
    <w:p>
      <w:pPr>
        <w:spacing w:after="0" w:line="18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no change in our internal control over financial reporting during the last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temporary rules of the SEC that permit us to provide only management’s report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are the directors and executive officers of our Company, their respective names and ages, positions with our Company, principal occupations and business experiences during at least the past five years.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r>
        <w:trPr>
          <w:trHeight w:val="238"/>
        </w:trPr>
        <w:tc>
          <w:tcPr>
            <w:tcW w:w="24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 w:type="dxa"/>
            <w:vAlign w:val="bottom"/>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r>
      <w:tr>
        <w:trPr>
          <w:trHeight w:val="20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 Bennett</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42</w:t>
            </w:r>
          </w:p>
        </w:tc>
        <w:tc>
          <w:tcPr>
            <w:tcW w:w="6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46</w:t>
            </w:r>
          </w:p>
        </w:tc>
        <w:tc>
          <w:tcPr>
            <w:tcW w:w="6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Brady Smallwood</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39</w:t>
            </w:r>
          </w:p>
        </w:tc>
        <w:tc>
          <w:tcPr>
            <w:tcW w:w="6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Sam Klepfish</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49</w:t>
            </w:r>
          </w:p>
        </w:tc>
        <w:tc>
          <w:tcPr>
            <w:tcW w:w="6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Hank Cohn</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54</w:t>
            </w:r>
          </w:p>
        </w:tc>
        <w:tc>
          <w:tcPr>
            <w:tcW w:w="6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James C. Pappas</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42</w:t>
            </w:r>
          </w:p>
        </w:tc>
        <w:tc>
          <w:tcPr>
            <w:tcW w:w="6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Schmulen</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43</w:t>
            </w:r>
          </w:p>
        </w:tc>
        <w:tc>
          <w:tcPr>
            <w:tcW w:w="6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Jefferson Gramm</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48</w:t>
            </w:r>
          </w:p>
        </w:tc>
        <w:tc>
          <w:tcPr>
            <w:tcW w:w="6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Denver J. Smith</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w:t>
            </w:r>
          </w:p>
        </w:tc>
        <w:tc>
          <w:tcPr>
            <w:tcW w:w="6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Bennett, Chief Executive Officer and Director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William (Bill) Bennett has been a director and our CEO since February 28, 2023. Prior thereto, Mr. Bennett was most recently Vice President of eCommerce for The Kroger Co. from 2020 until 2023. In this role, he was responsible for the company’s $10 billion eCommerce business, leading cross-functional partners in marketing, merchandising, product management, supply chain, technology, and analytics to develop and lead a robust eCommerce go-to-market and growth strategy across the enterprise. Mr. Bennett joined Kroger from Walmart where he served for seven years, from 2013 to 2020, in a variety of eCommerce and store leadership roles, including finance, merchandising, strategy, analytics, and product management. Prior to Walmart, from 2011 to 2013, Mr. Bennett led the pricing strategy team at S.C. Johnson and served in a variety of leadership roles at General Mills from 2006 to 2011. Mr. Bennett received a bachelor’s degree in Business Management with an emphasis in Finance from Brigham Young University and an MBA from the Fuqua School of Business at Duke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Gary Schubert, Chief Financial Officer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Schubert has been our Chief Financial Officer since January 1, 2024. Mr. Schubert brings to the Company a wealth of public company food industry experience. Prior to joining the Company as Chief Financial Officer, Mr. Schubert spent fifteen years at Walmart Stores, Inc. (“Walmart”), and three years at Tyson Foods, Inc. (“Tyson”), the second largest protein processer in the world. From June 2021 through August 2023, Mr. Schubert was the Senior Director of eCommerce Finance &amp; Transformation Strategy at Walmart. In this role, he was responsible for generating long-term sustainable growth by increasing customer share of Walmart’s electronic wallet, driving retention, and improving end-to-end omni-channel economics for Walmart’s $75 billion eCommerce business. From February 2017 through June 2021, Mr. Schubert served as the financial lead for Walmart’s Neighborhood Market business, the sixth largest grocery chain in the United States, with over $20 billion in annual sales across 700 locations. In addition, his financial leadership experience at Walmart spanned merchandising, operations, eCommerce, and strategy roles. During his time at Tyson, Mr. Schubert had various roles in Financial Planning &amp; Analysis, Corporate Treasury, and Investor Relations. Mr. Schubert received a Bachelor of Science in Business Administration from the University of Arkansas, majoring in financial management, and minoring in accounting. While attending the University of Arkansas, Mr. Schubert also managed the growth of a multi-million-dollar trust fund on behalf of the university.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Brady Smallwood, Chief Operating Officer and Director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Smallwood has been our Chief Operating Officer since May 15, 2023, and he has been a Director since May 17, 2023. Prior to joining the Company, Mr. Smallwood was most recently Senior Director - eCommerce Strategy, Planning and Operations for The Kroger Company, the largest supermarket operator by revenue in the U.S., from 2020 until 2023. In this role, he launched a new, profitable rapid grocery delivery business, implemented new management systems, and directed strategy development, pilot execution, and scaling for dozens of innovative initiatives. Prior thereto, Mr. Smallwood was Director - Omni Merchandising Planning &amp; Analytics at Walmart from 2019 to 2020, and he served as the head of Ecommerce Insights and Analytics at Younique Products, an Online beauty and personal care products company which is a subsidiary of Coty, Inc., from 2017 to 2019. Prior to these positions. Mr. Smallwood held various managerial roles at Walmart, Yum! Brands (Pizza Hut U.S.), and he held analyst roles at American Capital, LLC and at The Federal Home Loan Mortgage Corporation, commonly known as Freddie Mac. Mr. Smallwood received a bachelor’s degree in business management from Brigham Young University and an MBA from The University of Chicago Booth School of Business, where he was an honors graduate, and a Marketing scholarship recipient.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Smallwood was appointed as the director designee of Mr. Bennett, the CEO and a director of the Company, pursuant to the employment agreement, dated January 30, 2023, between the Company and Mr. Bennett (the “Employment Agreement”). Under the Employment Agreement, the Board or its nominating committee must nominate to the Board an individual designated by Mr. Bennett in good faith, subject to the Board’s fiduciary judgement and applicable legal or regulatory requirements and limitations. Under the terms of the Employment Agreement, as Mr. Bennett’s director designee, Mr. Smallwood may be removed or be asked to resign from his position on the Board in the event that Mr. Bennett’s employment with the Company is terminated.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 Klepfish, 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Klepfish has been a director since December 1, 2005. From November 2007 to February 28, 2023 Mr. Klepfish was the CEO of Innovative Food Holdings and its subsidiaries. From March 2006 to November 2007 Mr. Klepfish was the interim president of the Company and its subsidiary. Since February 2005 Mr. Klepfish was also a Managing Partner at ISG Capital, a merchant bank. From May 2004 through February 2005 Mr. Klepfish served as a Managing Director of Technoprises, Ltd. From January 2001 to May 2004 he was a corporate finance analyst and consultant at Phillips Nizer, a New York law firm. Since January 2001 Mr. Klepfish has been a member of the steering committee of Tri-State Ventures, a New York investment group. From 1998 to December 2000, Mr. Klepfish was an asset manager for several investors in small-cap entities.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Hank Cohn, Director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Cohn has been a director since October 29, 2010. Hank Cohn is currently CEO of P1 Billing, LLC, a revenue cycle management services provider to ambulatory medical clinics. P1 Billing is a spinoff of PracticeOne Inc., (formerly PracticeXpert, Inc., an OTCBB traded company), an integrated PMS and EMR software and services company for physicians. Mr. Cohn served as President and Chief Executive Officer of PracticeOne from December 2009 until December 2009, at which time he sold the company to Francison Partners, one of the largest, global technology focused, private equity firms in Silicon Valley. Prior to that, Mr. Cohn worked with a number of public companies. A partial list of his past and present board memberships include: Analytical Surveys, Inc., Kaching, Inc., and International Food and Wine, Inc., currently Evolution Resources Inc. Mr. Cohn also served as the executive vice president of Galaxy Ventures, LLC a closely-held investment fund concentrating in the areas of bond trading and early stage technology investments, where he acted as portfolio manager for investments.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C. Pappas, Charman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James C. Pappas has been a director since January 30, 2020. Mr. Pappas has served as the Managing Member of JCP Investment Management, LLC (“JCP Management”), an investment firm, and the sole member of JCP Investment Holdings, LLC (“JCP Holdings”), since June 2009. Mr. Pappas has also served as a director of Tandy Leather Factory, Inc. (NASDAQ:TLF), a retailer and wholesale distributor of a broad line of leather and related products, since June 2016. Mr. Pappas previously served as a director of each of Jamba, Inc. (formerly NASDAQ:JMBA), a leading health and wellness brand and the leading retailer of freshly squeezed juice, from January 2015 until the completion of its sale in September 2018, U.S. Geothermal Inc. (formerly NYSEMKT:HTM), a leading geothermal energy company, from September 2016 until the completion of its sale in April 2018, and The Pantry, Inc. (formerly NASDAQ:PTRY), a leading independently operated convenience store chain in the southeastern United States and one of the largest independently operated convenience store chains in the country, from March 2014 until the completion of its sale in March 2015. He also previously served as Chairman of the board of directors of Morgan’s Foods, Inc. (formerly OTC:MRFD), a then publicly traded company, from January 2013 until May 2014, when the company was acquired by Apex Restaurant Management, Inc., after originally joining its board as a director in February 2012. From 2005 until 2007, Mr. Pappas worked for The Goldman Sachs Group, Inc. (NYSE:GS) (“Goldman Sachs”), a multinational investment banking and securities firm, in its Investment Banking / Leveraged Finance Division. As part of the Goldman Sachs Leveraged Finance Group, Mr. Pappas advised private equity groups and corporations on appropriate leveraged buyout, recapitalization and refinancing alternatives. Prior to Goldman Sachs, Mr. Pappas worked at Banc of America Securities, the investment banking arm of Bank of America Corporation (NYSE:BAC), a multinational banking and financial services corporation, where he focused on Consumer and Retail Investment Banking, providing advice on a wide range of transactions including mergers and acquisitions, financings, restructurings and buy-side engagements. Mr. Pappas received a BBA and a Masters in Finance from Texas A&amp;M University.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Schmulen, Director</w:t>
      </w: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Mark Schmulen has been a Director since January 30, 2020. Mr. Schmulen is a co-founder of Chirp Systems, Inc., a venture-backed smart access solution for multifamily property owners, and has served as its CEO since October 2019. Mr. Schmulen has also served as the managing director of Jelly Capital, LLC, a private investment fund focused on early stage technology and real estate investments, since May 2015, and as an investment advisor representative for Forum Financial, LP, an independent investment advisor, since November 2016. Previously, he served as the General Manager of Social Media for Constant Contact, Inc. (formerly NASDAQ: CTCT), a provider of digital marketing solutions, from May 2010 until May 2014. Prior to this, he was a co-founder and served as the CEO of Nutshell Mail, Inc., a social media marketing solution, from 2008 until it was acquired by Constant Contact, Inc. in 2010. Mr. Schmulen began his career as an investment banking analyst with JPMorgan Chase Bank. He has served on the board of directors for the Shlenker School since August 2017 and has been a Director of the HHF Foundation, which benefits early childhood education since December 2014. Mr. Schmulen holds a B.S. from the University of Pennsylvania and an M.S. in Management from Stanford’s Graduate School of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Jefferson Gramm, 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Jefferson Gramm has been a Director since September 10, 2021. Mr. Gramm is a co-founder, partner and portfolio manager at Bandera Partners LLC (“Bandera”), a New York based investment fund founded in 2006. Prior to founding Bandera in 2006, he served as Managing Director of Arklow Capital, LLC, a hedge fund focused on distressed and value investments. Mr. Gramm has extensive board experience and currently serves as the Chairman of the board of directors of Tandy Leather Factory, Inc. and he is a director of Rubicon Technology Inc. Mr. Gramm previously served on the board of directors of Ambassadors Group Inc., Morgan’s Foods Inc., and Peerless Systems Corp. He received an M.B.A. from Columbia University in 2003 and a B.A. in Philosophy from the University of Chicago in 1996.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Denver Smith, Director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Denver Smith has been a Director since March 13, 2023. Mr. Smith is the Co-Founder and a managing member of Carlson Ridge Capital (“Carlson Ridge”), a hedge fund manager, which was founded in 2015. He is also the Co-CIO of Carlson Ridge and acts as the lead manager for the CRC Founders Fund, LP. Additionally, Mr. Smith advises the Aspen Family Trust on its asset allocation and strategic level decisions for various entities it owns. He was previously a portfolio manager and the Chief Investment Officer for 73114 Investments, LLC, for a period of 9 years. In 2015, he prompted and helped negotiate the sale of 73114 Investments’ parent company, a government contracting company, to a multi-billion dollar publicly traded REIT for over $150 million. Mr. Smith serves on the board of trustees of Lifestyle Management Inc, a non-profit organization. He graduated from the University of Oklahoma with a BBA in Finance and Economics. He also earned an MBA from the University of Oklahoma. Mr. Smith is a CFA Charterholder.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all of our directors are qualified for their positions, and that each brings a benefit to the board. Mr. Bennett, as an executive officer, is uniquely qualified to bring management’s perspective to the board’s deliberations. Mr. Smallwood, with his experience with The Kroger Company and Walmart, Mr. Schmulen, with his private equity experience, Mr. Cohn, with his history of being an executive and director of other companies, and Mr. Schubert with his financial expertise and experiences at Walmart, bring a well-rounded background and wealth of general business experience to our board. Mr. Pappas brings both his investment and corporate finance background and food industry experience to the board. Mr. Klepfish, as a former executive officer, continues to bring his knowledge of the food industry as well as detailed knowledge of the Company to the board. Messrs. Gramm and Smith bring extensive experience in business strategy and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any of our director nominees or executive officers and any other of our director nominees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has been established in accordance with Section 3(a)(58)(A) of the Exchange Act and is currently comprised of Messrs. Smith (Chairman) Cohn, and Gramm, each of whom the Board of Directors has determined satisfies the applicable SEC independence requirements for audit committee members. The Board of Directors has also determined that Mr. Smith is an “audit committee financial expert,” as defined by the applicable rules of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responsible for, among other things:</w:t>
      </w:r>
    </w:p>
    <w:p>
      <w:pPr>
        <w:spacing w:after="0" w:line="225" w:lineRule="exact"/>
        <w:rPr>
          <w:sz w:val="20"/>
          <w:szCs w:val="20"/>
          <w:color w:val="auto"/>
        </w:rPr>
      </w:pPr>
    </w:p>
    <w:p>
      <w:pPr>
        <w:ind w:left="1120" w:hanging="56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independence, qualifications, services, fees and performance of our independent registered public accounting firm;</w:t>
      </w:r>
    </w:p>
    <w:p>
      <w:pPr>
        <w:spacing w:after="0" w:line="27" w:lineRule="exact"/>
        <w:rPr>
          <w:rFonts w:ascii="Times New Roman" w:cs="Times New Roman" w:eastAsia="Times New Roman" w:hAnsi="Times New Roman"/>
          <w:sz w:val="18"/>
          <w:szCs w:val="18"/>
          <w:color w:val="auto"/>
        </w:rPr>
      </w:pPr>
    </w:p>
    <w:p>
      <w:pPr>
        <w:ind w:left="1120" w:hanging="56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replacing and discharging our independent registered public accounting firm;</w:t>
      </w:r>
    </w:p>
    <w:p>
      <w:pPr>
        <w:spacing w:after="0" w:line="9" w:lineRule="exact"/>
        <w:rPr>
          <w:rFonts w:ascii="Times New Roman" w:cs="Times New Roman" w:eastAsia="Times New Roman" w:hAnsi="Times New Roman"/>
          <w:sz w:val="18"/>
          <w:szCs w:val="18"/>
          <w:color w:val="auto"/>
        </w:rPr>
      </w:pPr>
    </w:p>
    <w:p>
      <w:pPr>
        <w:ind w:left="1120" w:hanging="56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professional services provided by our independent registered public accounting firm;</w:t>
      </w:r>
    </w:p>
    <w:p>
      <w:pPr>
        <w:spacing w:after="0" w:line="9" w:lineRule="exact"/>
        <w:rPr>
          <w:rFonts w:ascii="Times New Roman" w:cs="Times New Roman" w:eastAsia="Times New Roman" w:hAnsi="Times New Roman"/>
          <w:sz w:val="18"/>
          <w:szCs w:val="18"/>
          <w:color w:val="auto"/>
        </w:rPr>
      </w:pPr>
    </w:p>
    <w:p>
      <w:pPr>
        <w:ind w:left="1120" w:right="20" w:hanging="564"/>
        <w:spacing w:after="0" w:line="250"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scope of the annual audit and reports and recommendations submitted by our independent registered public accounting firm; and</w:t>
      </w:r>
    </w:p>
    <w:p>
      <w:pPr>
        <w:ind w:left="1120" w:right="20" w:hanging="564"/>
        <w:spacing w:after="0" w:line="260"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and accounting policies, including any significant changes, with our management and our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Committee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Nominating Committee currently consists of Messrs. Schmulen (Chairman), Klepfish, Smith, and Pappas, each of whom the Board of Directors has determined satisfies the applicable SEC and Nasdaq independence requirements.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Nominating Committee reviews, evaluates and proposes candidates for election to our Board of Directors, and considers any nominees properly recommended by stockholders. The Nominating Committee promotes the proper constitution of our Board of Directors in order to meet its fiduciary obligations to our stockholders, and oversees the establishment of, and compliance with, appropriate governance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Compensation Committee currently consists of Messrs. Cohn (Chairman), Smith, Klepfish, Pappas, and Schmulen, each of whom the Board of Directors has determined satisfies the applicable SEC and Nasdaq independence requirements. In addition, each member of the Compensation Committee has been determined to be a non-employee director under Rule 16b-3 as promulgated under the Exchange Act. The Compensation Committee reviews and recommends to the Board of Directors the compensation for our executive officers and our non-employee directors for their services as members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 Interlocks and Insider Participation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best of our knowledge, none of our current directors or executive officer has been convicted in a criminal proceeding, excluding traffic violations or similar misdemeanors, or has been a party to any judicial or administrative proceeding during the past ten years that resulted in a judgment, decree or final order enjoining the person from future violations of, or prohibiting activities subject to, federal or state securities laws, or a finding of any violation of federal or state securities or commodities laws, any laws respecting financial institutions or insurance companies, any law or regulation prohibiting mail or wire fraud in connection with any business entity or been subject to any disciplinary sanctions or orders imposed by a stock, commodities or derivatives exchange or other self-regulatory organization, except for matters that were dismissed without sanction or settlement.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Mr. Pappas’ appointment to the Board, as described in a Current Report on Form 8-K filed on January 30, 2020 (the “January 8-K”), the Company and Mr. Pappas entered into a two year Agreement dated as of January 28, 2020 (the “Pappas Agreement”) which, among other things, provided that (i) the Company (x) will support the continued directorships of the New Directors (as defined in the Pappas Agreement) at the next two annual meetings and (y) after 18 months will appoint another nominee of JCP (as defined in the Pappas Agreement”) to the Board and support such nominee at the next annual meeting, provided that such nominee shall be subject to the approval (which shall not be unreasonably withheld) of the Nominating and Corporate Governance Committee of the Board and the Board after exercising their good faith customary due diligence process and fiduciary duties; and (ii) JCP and the Company agreed to certain standstill provisions, as more fully described in the Pappas Agreement. As of the date hereof, the New Directors referred to in the Pappas Agreement are Messrs. Pappas and Schmulen.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November 28, 2022 the Company entered into a Board Observer Agreement with Denver J. Smith (the “Smith Agreement”). Mr. Smith is part of a Schedule 13D group (the “Group”) which holds approximately 8.3% of our outstanding common stock. The Group had threatened a proxy contest, and to avoid expense and disruption associated with a proxy contest the company has signed the Smith Agreement with the Group. The Smith Agreement provides, among other things, that for up to six (6) months, with certain minor limitations, Mr. Smith will have observer status at all meetings held by our Board of Directors as well as meetings held by the various Committees of our Board of Directors. In addition, the Smith Agreement provides for Mr. Smith to become a member of our Board of Directors on or before the six (6) month anniversary of the Smith Agreement subject to fulfillment of the Board’s fiduciary responsibilities. The Smith Agreement contains certain “standstill” provisions regarding proxy contests, Board membership and joining certain ownership groups. The Smith Agreement is conditional upon the Group maintaining certain minimum ownership of our common stock as well as imposing duties of confidentiality and securities law compliance. Effective March 13, 2023, our board determined to appoint Mr. Smith to our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and/or other dispositions of the Company’s securities by directors, officers and employees. The policy is designed to promote compliance with insider trading laws, rules and regulations, and any listing standards applicable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our directors, officers and employees, including our principal executive officer, principal financial officer, principal accounting officer or controller, or persons performing similar functions. A copy of the code is available on our website, www.ivfh.com, and it has been publicly filed with, and is available for free from the Securities and Exchange Commission. The information on or accessed through our website is deemed not to be incorporated in this Annual Report or to be part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ten percent of our common stock, file reports of ownership and changes in ownership with the SEC. Executive officers, directors and greater-than-ten percent stockholders are required by SEC regulations to furnish us with all Section 16(a) forms they file. Based solely on our review of the copies of the forms received by us and written representations from certain reporting persons that they have complied with the relevant filing requirements, we believe that, during the year ended December 31, 2023, all of our executive officers, directors and greater-than-ten percent stockholders complied with all Section 16(a) filing requirements, except that, due to administrative errors, the following forms were filed late:</w:t>
      </w:r>
    </w:p>
    <w:p>
      <w:pPr>
        <w:spacing w:after="0" w:line="187" w:lineRule="exact"/>
        <w:rPr>
          <w:sz w:val="20"/>
          <w:szCs w:val="20"/>
          <w:color w:val="auto"/>
        </w:rPr>
      </w:pPr>
    </w:p>
    <w:p>
      <w:pPr>
        <w:ind w:left="640" w:hanging="31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Klepfish filed a Form 4 on February 22, 2023 to report a transaction that occurred on February 17, 2023.</w:t>
      </w:r>
    </w:p>
    <w:p>
      <w:pPr>
        <w:spacing w:after="0" w:line="27"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Pappas filed a Form 4 on November 17, 2023 to report a transaction that occurred on November 14,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for services rendered to us for the two years ended December 31, 2023, of our Chief Executive Officer and our other named executive officers, determined in accordance with SEC rules applicable to smaller reporting companies, our principal financial officer and our highest compensated officer whose annual compensation exceeded $100,000 in the fiscal year ended December 31, 2023, if any. We refer to the Chief Executive Officer and these other officers as the named executive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All</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3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Robert W Bennett, CEO</w:t>
            </w:r>
          </w:p>
        </w:tc>
        <w:tc>
          <w:tcPr>
            <w:tcW w:w="54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80" w:type="dxa"/>
            <w:vAlign w:val="bottom"/>
            <w:gridSpan w:val="3"/>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344,712</w:t>
            </w:r>
          </w:p>
        </w:tc>
        <w:tc>
          <w:tcPr>
            <w:tcW w:w="1200" w:type="dxa"/>
            <w:vAlign w:val="bottom"/>
            <w:gridSpan w:val="2"/>
            <w:shd w:val="clear" w:color="auto" w:fill="CCEEFF"/>
          </w:tcPr>
          <w:p>
            <w:pPr>
              <w:jc w:val="right"/>
              <w:ind w:right="440"/>
              <w:spacing w:after="0" w:line="142" w:lineRule="exact"/>
              <w:rPr>
                <w:sz w:val="20"/>
                <w:szCs w:val="20"/>
                <w:color w:val="auto"/>
              </w:rPr>
            </w:pPr>
            <w:r>
              <w:rPr>
                <w:rFonts w:ascii="Times New Roman" w:cs="Times New Roman" w:eastAsia="Times New Roman" w:hAnsi="Times New Roman"/>
                <w:sz w:val="14"/>
                <w:szCs w:val="14"/>
                <w:color w:val="auto"/>
              </w:rPr>
              <w:t>410,128</w:t>
            </w:r>
          </w:p>
        </w:tc>
        <w:tc>
          <w:tcPr>
            <w:tcW w:w="80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660,541</w:t>
            </w:r>
          </w:p>
        </w:tc>
        <w:tc>
          <w:tcPr>
            <w:tcW w:w="38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10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199,791</w:t>
            </w:r>
          </w:p>
        </w:tc>
        <w:tc>
          <w:tcPr>
            <w:tcW w:w="38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(b)</w:t>
            </w:r>
          </w:p>
        </w:tc>
        <w:tc>
          <w:tcPr>
            <w:tcW w:w="8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1,615,172</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Brady L Smallwood,</w:t>
            </w: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184,615</w:t>
            </w: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117,369</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199,951</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9,794(c)</w:t>
            </w:r>
          </w:p>
        </w:tc>
        <w:tc>
          <w:tcPr>
            <w:tcW w:w="11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25,461</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537,190</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COO</w:t>
            </w:r>
          </w:p>
        </w:tc>
        <w:tc>
          <w:tcPr>
            <w:tcW w:w="54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Gary Schubert, CFO</w:t>
            </w:r>
          </w:p>
        </w:tc>
        <w:tc>
          <w:tcPr>
            <w:tcW w:w="5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0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3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5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Sam Klepfish, former</w:t>
            </w: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128,426</w:t>
            </w: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1,819,784</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1,988,891</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c>
          <w:tcPr>
            <w:tcW w:w="54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513,491</w:t>
            </w: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466,186</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98,939</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1,078,616</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Justin Wiernasz, former</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Director of Strategic</w:t>
            </w:r>
          </w:p>
        </w:tc>
        <w:tc>
          <w:tcPr>
            <w:tcW w:w="5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100,103</w:t>
            </w:r>
          </w:p>
        </w:tc>
        <w:tc>
          <w:tcPr>
            <w:tcW w:w="12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131,009</w:t>
            </w:r>
          </w:p>
        </w:tc>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231,112</w:t>
            </w:r>
          </w:p>
        </w:tc>
        <w:tc>
          <w:tcPr>
            <w:tcW w:w="0" w:type="dxa"/>
            <w:vAlign w:val="bottom"/>
          </w:tcPr>
          <w:p>
            <w:pPr>
              <w:spacing w:after="0"/>
              <w:rPr>
                <w:sz w:val="1"/>
                <w:szCs w:val="1"/>
                <w:color w:val="auto"/>
              </w:rPr>
            </w:pPr>
          </w:p>
        </w:tc>
      </w:tr>
      <w:tr>
        <w:trPr>
          <w:trHeight w:val="17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540" w:type="dxa"/>
            <w:vAlign w:val="bottom"/>
            <w:gridSpan w:val="2"/>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404,118</w:t>
            </w:r>
          </w:p>
        </w:tc>
        <w:tc>
          <w:tcPr>
            <w:tcW w:w="12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17,116</w:t>
            </w:r>
          </w:p>
        </w:tc>
        <w:tc>
          <w:tcPr>
            <w:tcW w:w="3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26,951</w:t>
            </w: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448,185</w:t>
            </w: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Richard Tang, former</w:t>
            </w: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269,423</w:t>
            </w: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130,188</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146,832</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(h)</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546,443</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CFO</w:t>
            </w:r>
          </w:p>
        </w:tc>
        <w:tc>
          <w:tcPr>
            <w:tcW w:w="54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239,231</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7,034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17,992</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264,257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
        <w:spacing w:after="0" w:line="267" w:lineRule="auto"/>
        <w:tabs>
          <w:tab w:leader="none" w:pos="22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full grant-date fair value of restricted stock granted during 2023 computed in accordance with ASC Topic 718, rather than the amounts paid to or realized by the named executive officer. The award is subject to a market performance condition and, as such, the grant date fair value of the award is the full grant date fair value, as adjusted to reflect any reduction that is appropriate for the probability that the market condition might not be met.</w:t>
      </w:r>
    </w:p>
    <w:p>
      <w:pPr>
        <w:spacing w:after="0" w:line="1" w:lineRule="exact"/>
        <w:rPr>
          <w:rFonts w:ascii="Times New Roman" w:cs="Times New Roman" w:eastAsia="Times New Roman" w:hAnsi="Times New Roman"/>
          <w:sz w:val="16"/>
          <w:szCs w:val="16"/>
          <w:color w:val="auto"/>
        </w:rPr>
      </w:pPr>
    </w:p>
    <w:p>
      <w:pPr>
        <w:ind w:firstLine="3"/>
        <w:spacing w:after="0" w:line="264" w:lineRule="auto"/>
        <w:tabs>
          <w:tab w:leader="none" w:pos="23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cost of health insurance premiums paid in the amount of $32,491 and $167,300 paid to taxing authorities for withholding taxes on stock issued to Mr. Bennett during the period.</w:t>
      </w:r>
    </w:p>
    <w:p>
      <w:pPr>
        <w:jc w:val="both"/>
        <w:ind w:firstLine="3"/>
        <w:spacing w:after="0" w:line="264" w:lineRule="auto"/>
        <w:tabs>
          <w:tab w:leader="none" w:pos="23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fair value of stock appreciation rights granted during 2023 computed in accordance with ASC Topic 718, rather than the amounts paid to or realized by the named executive officer. The award is subject to a market performance condition and, as such, the grant date fair value of the award is the full grant date fair value, as adjusted to reflect any reduction that is appropriate for the probability that the market condition might not be met</w:t>
      </w:r>
    </w:p>
    <w:p>
      <w:pPr>
        <w:ind w:left="240" w:hanging="237"/>
        <w:spacing w:after="0"/>
        <w:tabs>
          <w:tab w:leader="none" w:pos="2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cost of health insurance premiums paid</w:t>
      </w:r>
    </w:p>
    <w:p>
      <w:pPr>
        <w:spacing w:after="0" w:line="18" w:lineRule="exact"/>
        <w:rPr>
          <w:rFonts w:ascii="Times New Roman" w:cs="Times New Roman" w:eastAsia="Times New Roman" w:hAnsi="Times New Roman"/>
          <w:sz w:val="16"/>
          <w:szCs w:val="16"/>
          <w:color w:val="auto"/>
        </w:rPr>
      </w:pPr>
    </w:p>
    <w:p>
      <w:pPr>
        <w:ind w:left="220" w:hanging="217"/>
        <w:spacing w:after="0"/>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payments to Mr. Schubert as a consultant to the Company prior to his hiring.</w:t>
      </w:r>
    </w:p>
    <w:p>
      <w:pPr>
        <w:spacing w:after="0" w:line="18" w:lineRule="exact"/>
        <w:rPr>
          <w:rFonts w:ascii="Times New Roman" w:cs="Times New Roman" w:eastAsia="Times New Roman" w:hAnsi="Times New Roman"/>
          <w:sz w:val="16"/>
          <w:szCs w:val="16"/>
          <w:color w:val="auto"/>
        </w:rPr>
      </w:pPr>
    </w:p>
    <w:p>
      <w:pPr>
        <w:ind w:right="100" w:firstLine="3"/>
        <w:spacing w:after="0" w:line="264" w:lineRule="auto"/>
        <w:tabs>
          <w:tab w:leader="none" w:pos="2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period cost of separation charges in the amount of $1,819,199 to be paid to Mr. Klepfish and health insurance premiums in the amount of $585 (g)Amount reflects the period cost of separation charges in the amount of $126,451 to be paid to Mr. Weirnasz and health insurance premiums in the amount of $4,558.</w:t>
      </w:r>
    </w:p>
    <w:p>
      <w:pPr>
        <w:ind w:left="240" w:hanging="237"/>
        <w:spacing w:after="0"/>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consists of the period cost of separation charges in the amount of $128,413 to be paid to Mr. Tang and health insurance premiums in the amount of $18,419.</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subsidiary, Food Innovations, has employment agreements with certain officers and certain employees. The employment agreements provide for salaries and benefits, including stock grants and extend up to three years. In addition to salary and benefit provisions, the agreements include defined commitments should the employer terminate the employee with or without cause.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 Bennett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3, 2023, we entered into an Executive Employment Agreement with Robert William Bennett (the “RWB Agreement”). Defined terms used and not defined herein shall have the meanings assigned them in the RWB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2023, we entered into an Executive Employment Agreement with Robert William Bennett (the “RWB Agreement”). The RWB Agreement provides, among other things, for Mr. Bennett to become our Company’s Chief Executive Officer; Mr. Bennett, and one designee, to be nominated to the Company’s Board of Directors during his tenure as CEO; employment at-will with an initial term of employment from February 28, 2023 through December 31, 2025 with 12 months of Base Salary as severance payments if terminated without cause or resignation with Good Reason; an annual Base Salary of $375,000 with at least 3% annual increases with additional annual increases of 20% if certain cash flow metrics are met; a $50,000 signing bonus; an additional Bonus, triggered based on certain conditions being met, of up to $300,000 payable over time; annual incentive bonus equal to at least 50% of Base Salary; reimbursement of legal fees up to $10,000; and participation in the Company’s benefit plans. Mr. Bennett is also subject to the Company’s clawback policies and certain restrictive covenants including confidentiality, non-compete and non-solicitation.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 2023, we entered into an amendment to the RWB Agreement (the “RWB Amendment”). The RWB Amendment modifies Section 3(c) of the agreement, which provides for certain equity grants, referred to as “Value Achievement Awards,” under which Mr. Bennett, upon the achievement of certain goals, is able to earn grants of Company Shares, as defined in the RWB Agreement, based on a percentage of the Company’s Shares issued and outstanding as of a given date. The Company recognizes that the hiring of Mr. Bennett was protracted, and that the original RWB Agreement calculated the number of Shares to be granted in connection with the Value Achievement Awards on the basis of the number of Shares outstanding as of October 2022 (47,176,550 shares). This number does not account for additional shares that were issued to a departing executive and to certain other employees of the Company thereafter. As such, the agreement was modified to ensure that the equity grants contained within the RWB Agreement are based upon that 48,756,694 Shares outstanding as of March 28, 2023. All other terms of the RWB Agreement remained unchanged.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RWB Amendment, Mr. Bennett is eligible for stock grants based upon the market price of the Company’s common stock meeting certain price points at various 60-day volume weighted prices, as described in the chart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 Threshold Target</w:t>
            </w:r>
          </w:p>
        </w:tc>
        <w:tc>
          <w:tcPr>
            <w:tcW w:w="8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 of Shares Granted</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$0.60</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2.00%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975,133</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$0.80</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1.50%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731,350</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1.00%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487,567</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0.75%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365,675</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$1.40</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0.75%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243,783</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0.50%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243,783</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$1.80</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0.50% of the total</w:t>
            </w:r>
          </w:p>
        </w:tc>
      </w:tr>
      <w:tr>
        <w:trPr>
          <w:trHeight w:val="251"/>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243,783</w:t>
            </w:r>
          </w:p>
        </w:tc>
      </w:tr>
      <w:tr>
        <w:trPr>
          <w:trHeight w:val="174"/>
        </w:trPr>
        <w:tc>
          <w:tcPr>
            <w:tcW w:w="226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$2.00</w:t>
            </w:r>
          </w:p>
        </w:tc>
        <w:tc>
          <w:tcPr>
            <w:tcW w:w="87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0.50% of the total</w:t>
            </w: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243,783</w:t>
            </w:r>
          </w:p>
        </w:tc>
      </w:tr>
      <w:tr>
        <w:trPr>
          <w:trHeight w:val="429"/>
        </w:trPr>
        <w:tc>
          <w:tcPr>
            <w:tcW w:w="2260" w:type="dxa"/>
            <w:vAlign w:val="bottom"/>
          </w:tcPr>
          <w:p>
            <w:pPr>
              <w:spacing w:after="0"/>
              <w:rPr>
                <w:sz w:val="24"/>
                <w:szCs w:val="24"/>
                <w:color w:val="auto"/>
              </w:rPr>
            </w:pPr>
          </w:p>
        </w:tc>
        <w:tc>
          <w:tcPr>
            <w:tcW w:w="872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66</w:t>
            </w:r>
          </w:p>
        </w:tc>
      </w:tr>
      <w:tr>
        <w:trPr>
          <w:trHeight w:val="101"/>
        </w:trPr>
        <w:tc>
          <w:tcPr>
            <w:tcW w:w="2260" w:type="dxa"/>
            <w:vAlign w:val="bottom"/>
            <w:tcBorders>
              <w:bottom w:val="single" w:sz="8" w:color="auto"/>
            </w:tcBorders>
          </w:tcPr>
          <w:p>
            <w:pPr>
              <w:spacing w:after="0"/>
              <w:rPr>
                <w:sz w:val="8"/>
                <w:szCs w:val="8"/>
                <w:color w:val="auto"/>
              </w:rPr>
            </w:pPr>
          </w:p>
        </w:tc>
        <w:tc>
          <w:tcPr>
            <w:tcW w:w="872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Brady Smallwood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2023, we entered into an employment agreement with Mr. Brady Smallwood in connection with his appointment to the position of Chief Operating Officer (the “Smallwood Employment Agreement”). Defined terms used and not defined herein shall have the meanings assigned them in the Smallwood Employment Agreement.</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Smallwood Employment Agreement provides, among other things, for Mr. Smallwood to become the Company’s Chief Operating Officer; employment at-will with an initial term of employment from May 15, 2023 through December 31, 2025 with nine months of Base Salary as severance payments if terminated without cause or resignation with Good Reason; an annual Base Salary of $300,000 with at least 3% annual increases; a $29,370 signing bonus; an annual incentive bonus equal to at least $80,000 (prorated for partial years); reimbursement of legal fees up to $5,000; a one-time option grant of 1.5 million stock options with half exercisable at a price of $1.50 per share and half exercisable at a price pf $2.00 per share; and participation in the Company’s benefit plans. Mr. Smallwood is also subject to the Company’s clawback policies and certain restrictive covenants including confidentiality, non-compete and non-solicitation.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Mr. Smallwood is eligible for stock grants based upon the market price of the Company’s common stock meeting certain price points at various 60-day volume weighted prices, as described in the chart below:</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578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300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2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 Outstanding on</w:t>
            </w:r>
          </w:p>
        </w:tc>
        <w:tc>
          <w:tcPr>
            <w:tcW w:w="2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6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3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8"/>
                <w:szCs w:val="18"/>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20"/>
                <w:szCs w:val="20"/>
                <w:color w:val="auto"/>
              </w:rPr>
            </w:pPr>
          </w:p>
        </w:tc>
        <w:tc>
          <w:tcPr>
            <w:tcW w:w="3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Smallwood Employment Agreement, the Company agreed to grant to Mr. Smallwood 1,500,000 stock appreciation rights (the “Smallwood SARs”). The Smallwood SARs vest upon issuance, and expire on December 31, 2026; 750,000 of the Smallwood SARs are priced at $1.50 per share, and 750,000 are priced at $2.00 per share. It is the Company’s intention to settle the Smallwood SARs in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Gary Schubert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22, 2023, our board of directors appointed Mr. Gary Schubert to the position of Chief Financial Officer of the Company, effective January 1, 2024. Defined terms used and not defined herein shall have the meanings assigned them in the Schubert Employment Agreement.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the Company entered into an employment agreement with Mr. Schubert on December 29, 2023 (the “Schubert Employment Agreement”). Defined terms used and not defined herein shall have the meanings assigned them in the Schubert Employment Agreement.</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Schubert Employment Agreement provides, among other things, for Mr. Schubert to become the Company’s Chief Financial Officer; at-will employment with an initial term of employment from January 1, 2024 through June 30, 2026 with nine months of Base Salary as severance payments if terminated without cause or resignation with Good Reason; an annual Base Salary of $280,000 with at least 3% annual increases; a $30,000 signing bonus; an annual incentive bonus equal to at least $60,000 (prorated for partial years); and reimbursement of legal fees up to $5,000. Mr. Schubert is also subject to the Company’s clawback policies and certain restrictive covenants including confidentiality, non-compete and non-solicitation.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Mr. Schubert is eligible for stock grants based upon the market price of the Company’s common stock meeting certain price points at various 60-day volume weighted prices, as described in the chart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 Threshold Target</w:t>
            </w:r>
          </w:p>
        </w:tc>
        <w:tc>
          <w:tcPr>
            <w:tcW w:w="8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 of Shares Granted</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$1.23</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0.40%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131,085</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$1.63</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0.30%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98,313</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$2.04</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0.20%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65,542</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$2.45</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0.15%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49,157</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$2.86</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0.15%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49,157</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$3.27</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0.10% of the total</w:t>
            </w: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32,771</w:t>
            </w:r>
          </w:p>
        </w:tc>
      </w:tr>
      <w:tr>
        <w:trPr>
          <w:trHeight w:val="191"/>
        </w:trPr>
        <w:tc>
          <w:tcPr>
            <w:tcW w:w="2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$3.68</w:t>
            </w:r>
          </w:p>
        </w:tc>
        <w:tc>
          <w:tcPr>
            <w:tcW w:w="8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0.10% of the total</w:t>
            </w:r>
          </w:p>
        </w:tc>
      </w:tr>
      <w:tr>
        <w:trPr>
          <w:trHeight w:val="251"/>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32,771</w:t>
            </w:r>
          </w:p>
        </w:tc>
      </w:tr>
      <w:tr>
        <w:trPr>
          <w:trHeight w:val="174"/>
        </w:trPr>
        <w:tc>
          <w:tcPr>
            <w:tcW w:w="226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$4.08</w:t>
            </w:r>
          </w:p>
        </w:tc>
        <w:tc>
          <w:tcPr>
            <w:tcW w:w="87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The lower of (x) the number of Shares (rounded down to the nearest whole Share) representing 0.10% of the total</w:t>
            </w: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issued and outstanding Shares on the Grant Date of this Value Achievement Award or (y) 32,771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 Interlocks and Insider Participation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8" w:name="page69"/>
    <w:bookmarkEnd w:id="68"/>
    <w:p>
      <w:pPr>
        <w:ind w:left="2"/>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as of December 31, 2023</w:t>
      </w:r>
    </w:p>
    <w:p>
      <w:pPr>
        <w:spacing w:after="0" w:line="223" w:lineRule="exact"/>
        <w:rPr>
          <w:sz w:val="20"/>
          <w:szCs w:val="20"/>
          <w:color w:val="auto"/>
        </w:rPr>
      </w:pPr>
    </w:p>
    <w:tbl>
      <w:tblPr>
        <w:tblLayout w:type="fixed"/>
        <w:tblInd w:w="2"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continue"/>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1280" w:type="dxa"/>
            <w:vAlign w:val="bottom"/>
            <w:gridSpan w:val="2"/>
            <w:vMerge w:val="continue"/>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Bill Bennett</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2,594,712(a,d)</w:t>
            </w:r>
          </w:p>
        </w:tc>
        <w:tc>
          <w:tcPr>
            <w:tcW w:w="10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$1,920,087</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Brady Smallwood</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520,724(b,d)</w:t>
            </w:r>
          </w:p>
        </w:tc>
        <w:tc>
          <w:tcPr>
            <w:tcW w:w="10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$400,136</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Sam Klepfish</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300,000(c)</w:t>
            </w:r>
          </w:p>
        </w:tc>
        <w:tc>
          <w:tcPr>
            <w:tcW w:w="10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$222,000</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Tang</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100,000</w:t>
            </w:r>
          </w:p>
        </w:tc>
        <w:tc>
          <w:tcPr>
            <w:tcW w:w="120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w:t>
            </w:r>
          </w:p>
        </w:tc>
        <w:tc>
          <w:tcPr>
            <w:tcW w:w="1040" w:type="dxa"/>
            <w:vAlign w:val="bottom"/>
            <w:gridSpan w:val="2"/>
            <w:shd w:val="clear" w:color="auto" w:fill="CCEEFF"/>
          </w:tcPr>
          <w:p>
            <w:pPr>
              <w:jc w:val="center"/>
              <w:ind w:right="40"/>
              <w:spacing w:after="0" w:line="126" w:lineRule="exact"/>
              <w:rPr>
                <w:sz w:val="20"/>
                <w:szCs w:val="20"/>
                <w:color w:val="auto"/>
              </w:rPr>
            </w:pPr>
            <w:r>
              <w:rPr>
                <w:rFonts w:ascii="Times New Roman" w:cs="Times New Roman" w:eastAsia="Times New Roman" w:hAnsi="Times New Roman"/>
                <w:sz w:val="14"/>
                <w:szCs w:val="14"/>
                <w:color w:val="auto"/>
              </w:rPr>
              <w:t>December</w:t>
            </w:r>
          </w:p>
        </w:tc>
        <w:tc>
          <w:tcPr>
            <w:tcW w:w="10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8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28, 2025</w:t>
            </w: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 w:right="20" w:hanging="2"/>
        <w:spacing w:after="0" w:line="26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awards vest upon the market price of the Company’s common stock meeting certain price points at various 60-day volume weighted prices through December 31, 2025 according to the following schedule: 707,649 shares at $0.80 per share; 471,766 shares at a price of $1.00 per share; 353,824 shares at a price of $1.20 per share; 353,824 shares at a price of $1.40 per share; 235,883 shares at a price of $1.60 per share; 235,883 shares at a price of $1.80 per share; and 235,883 shares at a price of $2.00 per share.</w:t>
      </w:r>
    </w:p>
    <w:p>
      <w:pPr>
        <w:spacing w:after="0" w:line="179" w:lineRule="exact"/>
        <w:rPr>
          <w:rFonts w:ascii="Times New Roman" w:cs="Times New Roman" w:eastAsia="Times New Roman" w:hAnsi="Times New Roman"/>
          <w:sz w:val="18"/>
          <w:szCs w:val="18"/>
          <w:color w:val="auto"/>
        </w:rPr>
      </w:pPr>
    </w:p>
    <w:p>
      <w:pPr>
        <w:jc w:val="both"/>
        <w:ind w:left="2" w:hanging="2"/>
        <w:spacing w:after="0" w:line="261"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awards vest upon the market price of the Company’s common stock meeting certain price points at various 60-day volume weighted prices through December 31, 2025 according to the following schedule: 196,627 shares at $0.87 per share; 147,470 shares at a price of $1.16 per share; 98,313 shares at a price of $1.45 per share; 73,735 shares at a price of $1.74 per share; 75,735 shares at a price of $2.03 per share; 49,157 shares at a price of $2.32 per share; 49,157 shares at a price of $2.61 per share. and 49,157 shares at a price of $2.90 per share.</w:t>
      </w:r>
    </w:p>
    <w:p>
      <w:pPr>
        <w:spacing w:after="0" w:line="179" w:lineRule="exact"/>
        <w:rPr>
          <w:rFonts w:ascii="Times New Roman" w:cs="Times New Roman" w:eastAsia="Times New Roman" w:hAnsi="Times New Roman"/>
          <w:sz w:val="18"/>
          <w:szCs w:val="18"/>
          <w:color w:val="auto"/>
        </w:rPr>
      </w:pPr>
    </w:p>
    <w:p>
      <w:pPr>
        <w:jc w:val="both"/>
        <w:ind w:left="2" w:right="20" w:hanging="2"/>
        <w:spacing w:after="0" w:line="266" w:lineRule="auto"/>
        <w:tabs>
          <w:tab w:leader="none" w:pos="2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vest according to the following schedule: An additional 125,000 restricted stock awards will vest contingent upon the attainment of a stock price of $2.00 per share for 20 consecutive trading days, and an additional 175,000 restricted stock awards will vest contingent upon the attainment of a stock price of $3.00 per share for 20 consecutive trading days.</w:t>
      </w:r>
    </w:p>
    <w:p>
      <w:pPr>
        <w:spacing w:after="0" w:line="175" w:lineRule="exact"/>
        <w:rPr>
          <w:rFonts w:ascii="Times New Roman" w:cs="Times New Roman" w:eastAsia="Times New Roman" w:hAnsi="Times New Roman"/>
          <w:sz w:val="18"/>
          <w:szCs w:val="18"/>
          <w:color w:val="auto"/>
        </w:rPr>
      </w:pPr>
    </w:p>
    <w:p>
      <w:pPr>
        <w:jc w:val="both"/>
        <w:ind w:left="2" w:right="20" w:hanging="2"/>
        <w:spacing w:after="0" w:line="261" w:lineRule="auto"/>
        <w:tabs>
          <w:tab w:leader="none" w:pos="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are contingent on the executive (A) remaining employed by the Company through the applicable grant date, (B) continuing to comply with all of the terms and conditions of his employment agreement and the restrictive covenants agreement through the applicable grant date, and (C) making or entering into arrangements satisfactory to the Company, prior to each applicable grant date, to comply with all applicable tax withholding obligations.</w:t>
      </w:r>
    </w:p>
    <w:p>
      <w:pPr>
        <w:spacing w:after="0" w:line="179" w:lineRule="exact"/>
        <w:rPr>
          <w:rFonts w:ascii="Times New Roman" w:cs="Times New Roman" w:eastAsia="Times New Roman" w:hAnsi="Times New Roman"/>
          <w:sz w:val="18"/>
          <w:szCs w:val="18"/>
          <w:color w:val="auto"/>
        </w:rPr>
      </w:pPr>
    </w:p>
    <w:p>
      <w:pPr>
        <w:ind w:left="242" w:hanging="242"/>
        <w:spacing w:after="0"/>
        <w:tabs>
          <w:tab w:leader="none" w:pos="2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options are exercisable at $0.60 per share and 50,000 options are exercisable at $1.00 per share.</w:t>
      </w:r>
    </w:p>
    <w:p>
      <w:pPr>
        <w:spacing w:after="0" w:line="225" w:lineRule="exact"/>
        <w:rPr>
          <w:sz w:val="20"/>
          <w:szCs w:val="20"/>
          <w:color w:val="auto"/>
        </w:rPr>
      </w:pPr>
    </w:p>
    <w:p>
      <w:pPr>
        <w:ind w:left="2" w:right="20"/>
        <w:spacing w:after="0" w:line="282" w:lineRule="auto"/>
        <w:rPr>
          <w:sz w:val="20"/>
          <w:szCs w:val="20"/>
          <w:color w:val="auto"/>
        </w:rPr>
      </w:pPr>
      <w:r>
        <w:rPr>
          <w:rFonts w:ascii="Times New Roman" w:cs="Times New Roman" w:eastAsia="Times New Roman" w:hAnsi="Times New Roman"/>
          <w:sz w:val="18"/>
          <w:szCs w:val="18"/>
          <w:color w:val="auto"/>
        </w:rPr>
        <w:t>Amounts are calculated by multiplying the number of shares shown in the table by $ 0.74 per share, which is the closing price of common stock on December 30, 2023 (the last trading day of the 2023 fiscal year).</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69" w:name="page70"/>
    <w:bookmarkEnd w:id="69"/>
    <w:p>
      <w:pPr>
        <w:ind w:left="2"/>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Directors serve without compensation.</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2"/>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3, 2023, with respect to the beneficial ownership of our common stock by (1) each person known by us to own beneficially more than 5% of the outstanding shares of our common stock, (2) each of our directors, (3) each Named Officer, and</w:t>
      </w:r>
    </w:p>
    <w:p>
      <w:pPr>
        <w:jc w:val="both"/>
        <w:ind w:left="2" w:right="20" w:hanging="2"/>
        <w:spacing w:after="0" w:line="253"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executive officers as a group. Unless otherwise stated, each person listed below uses the Company’s address. Pursuant to SEC rules, includes shares that the person has the right to receive within 60 days from March 5, 2023. The inclusion herein of any shares deemed beneficially owned does not constitute an admission of beneficial ownership of such shares. Except as otherwise indicated, the beneficial owner exercises sole voting power and sole investment power with respect to such shares.</w:t>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62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10"/>
        </w:trPr>
        <w:tc>
          <w:tcPr>
            <w:tcW w:w="69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Pappas (Director)</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8,134,425</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Hank Cohn (Director)</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4,397,831</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Jefferson Gramm (Director)</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3,485,000</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Mark Schmulen (Director)</w:t>
            </w:r>
          </w:p>
        </w:tc>
        <w:tc>
          <w:tcPr>
            <w:tcW w:w="6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 Klepfish (Director)</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3,736,671</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Bill Bennett (Officer, Director)</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927,742</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Brady Smallwood (Officer, Director)</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11,000</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Denver J. Smith (Director)</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3,957,325</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Inlight Wealth Management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3,556,426</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198"/>
        </w:trPr>
        <w:tc>
          <w:tcPr>
            <w:tcW w:w="6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group consisting of Denver J. Smith, CRC Founders Fund, LP, Donald E. Smith, Richard G.</w:t>
            </w:r>
          </w:p>
        </w:tc>
        <w:tc>
          <w:tcPr>
            <w:tcW w:w="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 Samuel N. Jurrens, 73114 Investments, LLC, Youth Properties, LLC, and Paratus Capital,</w:t>
            </w:r>
          </w:p>
        </w:tc>
        <w:tc>
          <w:tcPr>
            <w:tcW w:w="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4,046,789</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All officers and directors as a whole (9 persons)</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24,650,994</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bl>
    <w:p>
      <w:pPr>
        <w:spacing w:after="0" w:line="179" w:lineRule="exact"/>
        <w:rPr>
          <w:sz w:val="20"/>
          <w:szCs w:val="20"/>
          <w:color w:val="auto"/>
        </w:rPr>
      </w:pPr>
    </w:p>
    <w:p>
      <w:pPr>
        <w:jc w:val="both"/>
        <w:ind w:left="522" w:right="20" w:hanging="517"/>
        <w:spacing w:after="0" w:line="253" w:lineRule="auto"/>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8,247,917 shares held by JCP Investment Partnership, LP (“JCP Partnership”) and 113,492 shares held in an account managed by JCP Investment Management, LLC (“JCP Management”). JCP Investment Partners, LP (“JCP Partners”) is the general partner of JCP Partnership and JCP Investment Holdings, LLC (“JCP Holdings”) is the general partner of JCP Partners. Mr. Pappas is the managing member of JCP Management and sole member of JCP Holdings. The address of Mr. Pappas, JCP Partnership and JCP Management, LLC is 1177 West Loop South, Suite 1320, Houston, TX 77027. Information gathered from a Form 4 filed with the Securities and Exchange Commission on February 15, 2023.</w:t>
      </w:r>
    </w:p>
    <w:p>
      <w:pPr>
        <w:spacing w:after="0" w:line="5" w:lineRule="exact"/>
        <w:rPr>
          <w:rFonts w:ascii="Times New Roman" w:cs="Times New Roman" w:eastAsia="Times New Roman" w:hAnsi="Times New Roman"/>
          <w:sz w:val="18"/>
          <w:szCs w:val="18"/>
          <w:color w:val="auto"/>
        </w:rPr>
      </w:pPr>
    </w:p>
    <w:p>
      <w:pPr>
        <w:ind w:left="522" w:right="20" w:hanging="517"/>
        <w:spacing w:after="0" w:line="250" w:lineRule="auto"/>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3,125,000 shares which are held indirectly through SV Asset Management LLC. Includes information gathered from a Form 4 filed with the Securities and Exchange Commission on August 31, 2022.</w:t>
      </w:r>
    </w:p>
    <w:p>
      <w:pPr>
        <w:jc w:val="both"/>
        <w:ind w:left="522" w:right="20" w:hanging="517"/>
        <w:spacing w:after="0" w:line="250" w:lineRule="auto"/>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Bandera Master Fund L.P., a Cayman Islands exempted limited partnership (“Bandera Master Fund”), is the record holder of 3,485,000 shares of Common Stock. Bandera Partners LLC, a Delaware limited liability company (“Bandera Partners”), is the investment manager of Bandera Master Fund. Mr. Gramm is Managing Partner, Managing Director and Portfolio Manager of Bandera Partners. Information gathered from a Form 4 filed with the Securities and Exchange Commission on February 10, 2023.</w:t>
      </w:r>
    </w:p>
    <w:p>
      <w:pPr>
        <w:spacing w:after="0" w:line="1" w:lineRule="exact"/>
        <w:rPr>
          <w:rFonts w:ascii="Times New Roman" w:cs="Times New Roman" w:eastAsia="Times New Roman" w:hAnsi="Times New Roman"/>
          <w:sz w:val="18"/>
          <w:szCs w:val="18"/>
          <w:color w:val="auto"/>
        </w:rPr>
      </w:pPr>
    </w:p>
    <w:p>
      <w:pPr>
        <w:ind w:left="522" w:hanging="517"/>
        <w:spacing w:after="0"/>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104,910 shares of common stock owned by Mr. Bennett's spouse, ownership of which is disclaimed by Mr. Bennett</w:t>
      </w:r>
    </w:p>
    <w:p>
      <w:pPr>
        <w:spacing w:after="0" w:line="9" w:lineRule="exact"/>
        <w:rPr>
          <w:rFonts w:ascii="Times New Roman" w:cs="Times New Roman" w:eastAsia="Times New Roman" w:hAnsi="Times New Roman"/>
          <w:sz w:val="18"/>
          <w:szCs w:val="18"/>
          <w:color w:val="auto"/>
        </w:rPr>
      </w:pPr>
    </w:p>
    <w:p>
      <w:pPr>
        <w:ind w:left="522" w:right="20" w:hanging="517"/>
        <w:spacing w:after="0" w:line="250" w:lineRule="auto"/>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703,851 shares owned by Mr. Smith and 3,253,474 shares owned by various funds or businesses for which he provides investment advice. Includes all but 89,464 shares described in note (7).</w:t>
      </w:r>
    </w:p>
    <w:p>
      <w:pPr>
        <w:jc w:val="both"/>
        <w:ind w:left="522" w:right="20" w:hanging="517"/>
        <w:spacing w:after="0" w:line="250" w:lineRule="auto"/>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 filed on January 9, 2024 with the Securities Exchange Commission, the address of Inlight Wealth Management is 1175 Peachtree St NE Suite 350, Atlanta, GA 30361. Amount consists of 2,208,069 shares with sole voting and dispositive power, and 1,348,357 shares with shared dispositive power.</w:t>
      </w:r>
    </w:p>
    <w:p>
      <w:pPr>
        <w:spacing w:after="0" w:line="1" w:lineRule="exact"/>
        <w:rPr>
          <w:rFonts w:ascii="Times New Roman" w:cs="Times New Roman" w:eastAsia="Times New Roman" w:hAnsi="Times New Roman"/>
          <w:sz w:val="18"/>
          <w:szCs w:val="18"/>
          <w:color w:val="auto"/>
        </w:rPr>
      </w:pPr>
    </w:p>
    <w:p>
      <w:pPr>
        <w:jc w:val="both"/>
        <w:ind w:left="522" w:right="20" w:hanging="517"/>
        <w:spacing w:after="0" w:line="250" w:lineRule="auto"/>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13D/A filed on March 13, 2024 with the Securities and Exchange Commission, for a group of investors which includes Mr. Denver Smith (see footnote 6). Mr. Smith disclaims beneficial interest over 89,464 shares owned by certain members of the group for which he has no voting power. The group uses an address of 350 S Race Street, Denver, CO, 80209.</w:t>
      </w:r>
    </w:p>
    <w:p>
      <w:pPr>
        <w:spacing w:after="0" w:line="1" w:lineRule="exact"/>
        <w:rPr>
          <w:rFonts w:ascii="Times New Roman" w:cs="Times New Roman" w:eastAsia="Times New Roman" w:hAnsi="Times New Roman"/>
          <w:sz w:val="18"/>
          <w:szCs w:val="18"/>
          <w:color w:val="auto"/>
        </w:rPr>
      </w:pPr>
    </w:p>
    <w:p>
      <w:pPr>
        <w:ind w:left="522" w:hanging="517"/>
        <w:spacing w:after="0"/>
        <w:tabs>
          <w:tab w:leader="none" w:pos="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24,650,994 shares of common stock held by officers and directors.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not currently subject to the requirements of any stock exchange or national securities association with respect to having a majority of “independent directors”. Messrs. Cohn, Smallwood, Pappas, Schmulen, Gramm and Smith are “independent” and only Messrs. Bennett, by virtue of being an Officer, and Klepfish, by virtue of being a former Officer, are not independent. Mr. Bennett does not participate in board discussions concerning his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Fees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engaged Assurance Dimensions, Inc. as our independent registered public accounting firm effective November 10, 2022. Total engagement fees of Assurance Dimensions, Inc. covering the years ended December 31, 2023 and 2022 were approximately $210,000.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engaged Liggett &amp; Webb P.A. (“LW”) as our independent registered public accounting from November 9, 2012 through November 9, 2022. During the years ended December 31, 2023 and 2022, LW billed us audit fees of approximately $0 and $174,000,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Audit-Related Fees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fees billed in each of the last two fiscal years for assurance and related services by Assurance Dimensions and by LW that are reasonably related to the performance of the audit or review of our consolidated financial statements including our quarterly interim reviews on Form 10-Q and are reported under Audit Fees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Assurance Dimensions tax fees were $0 and $0 for the years ended December 31, 2023 and 2022,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 Other Fees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Assurance Dimension, Inc. has not billed us any other fees since their engagement on November 10, 2022. LW has not billed any other fees since their engagement on November 9, 2012.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December 31, 2023 and 2022 the board of directors considered the audit fees, audit-related fees, tax fees and other fees paid to our accountants, as disclosed above, and determined that the payment of such fees was compatible with maintaining the independence of the accountants. Our board of directors pre-approves all auditing services and all permitted non-auditing services (including the fees and terms thereof) to be performed by our independent registered public accounting firm, except for de minimis non-audit services that are approved by the board of directors prior to the completion of the audit.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Purchase Agreement by and between the Company and Gulf Coast Aluminum, dated December 12, 2023 (incorporated by reference to</w:t>
              </w:r>
            </w:hyperlink>
          </w:p>
        </w:tc>
      </w:tr>
      <w:tr>
        <w:trPr>
          <w:trHeight w:val="196"/>
        </w:trPr>
        <w:tc>
          <w:tcPr>
            <w:tcW w:w="1100" w:type="dxa"/>
            <w:vAlign w:val="bottom"/>
          </w:tcPr>
          <w:p>
            <w:pPr>
              <w:spacing w:after="0"/>
              <w:rPr>
                <w:sz w:val="17"/>
                <w:szCs w:val="17"/>
                <w:color w:val="auto"/>
              </w:rPr>
            </w:pPr>
          </w:p>
        </w:tc>
        <w:tc>
          <w:tcPr>
            <w:tcW w:w="98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Company’s Form 8-K filed with the Securities and Exchange Commission on February 16, 2024)</w:t>
              </w:r>
            </w:hyperlink>
          </w:p>
        </w:tc>
      </w:tr>
      <w:tr>
        <w:trPr>
          <w:trHeight w:val="20"/>
        </w:trPr>
        <w:tc>
          <w:tcPr>
            <w:tcW w:w="1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Articles of Incorporation (incorporated by reference to exhibit 3.1 of the Company’s annual report on Form 10-KSB for the year ended</w:t>
              </w:r>
            </w:hyperlink>
          </w:p>
        </w:tc>
      </w:tr>
      <w:tr>
        <w:trPr>
          <w:trHeight w:val="196"/>
        </w:trPr>
        <w:tc>
          <w:tcPr>
            <w:tcW w:w="1100" w:type="dxa"/>
            <w:vAlign w:val="bottom"/>
          </w:tcPr>
          <w:p>
            <w:pPr>
              <w:spacing w:after="0"/>
              <w:rPr>
                <w:sz w:val="17"/>
                <w:szCs w:val="17"/>
                <w:color w:val="auto"/>
              </w:rPr>
            </w:pPr>
          </w:p>
        </w:tc>
        <w:tc>
          <w:tcPr>
            <w:tcW w:w="698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December 31, 2004 filed with the Securities and Exchange Commission on September 28, 2005)</w:t>
              </w:r>
            </w:hyperlink>
          </w:p>
        </w:tc>
        <w:tc>
          <w:tcPr>
            <w:tcW w:w="288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Amended Bylaws of the Company (incorporated by reference to exhibit 3.2 of the Company’s annual report Form 10-K for the year</w:t>
              </w:r>
            </w:hyperlink>
          </w:p>
        </w:tc>
      </w:tr>
      <w:tr>
        <w:trPr>
          <w:trHeight w:val="196"/>
        </w:trPr>
        <w:tc>
          <w:tcPr>
            <w:tcW w:w="1100" w:type="dxa"/>
            <w:vAlign w:val="bottom"/>
          </w:tcPr>
          <w:p>
            <w:pPr>
              <w:spacing w:after="0"/>
              <w:rPr>
                <w:sz w:val="17"/>
                <w:szCs w:val="17"/>
                <w:color w:val="auto"/>
              </w:rPr>
            </w:pPr>
          </w:p>
        </w:tc>
        <w:tc>
          <w:tcPr>
            <w:tcW w:w="714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ended December 31, 2010 filed with the Securities and Exchange Commission on March 16, 2011)</w:t>
              </w:r>
            </w:hyperlink>
          </w:p>
        </w:tc>
        <w:tc>
          <w:tcPr>
            <w:tcW w:w="272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Bylaws of the Company (incorporated by reference to exhibit 3.2 of the Company’s current report Form 8-K filed with the</w:t>
              </w:r>
            </w:hyperlink>
          </w:p>
        </w:tc>
      </w:tr>
      <w:tr>
        <w:trPr>
          <w:trHeight w:val="196"/>
        </w:trPr>
        <w:tc>
          <w:tcPr>
            <w:tcW w:w="1100" w:type="dxa"/>
            <w:vAlign w:val="bottom"/>
          </w:tcPr>
          <w:p>
            <w:pPr>
              <w:spacing w:after="0"/>
              <w:rPr>
                <w:sz w:val="17"/>
                <w:szCs w:val="17"/>
                <w:color w:val="auto"/>
              </w:rPr>
            </w:pPr>
          </w:p>
        </w:tc>
        <w:tc>
          <w:tcPr>
            <w:tcW w:w="430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Securities and Exchange Commission on January 23, 2018)</w:t>
              </w:r>
            </w:hyperlink>
          </w:p>
        </w:tc>
        <w:tc>
          <w:tcPr>
            <w:tcW w:w="556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100" w:type="dxa"/>
            <w:vAlign w:val="bottom"/>
          </w:tcPr>
          <w:p>
            <w:pPr>
              <w:spacing w:after="0"/>
              <w:rPr>
                <w:sz w:val="17"/>
                <w:szCs w:val="17"/>
                <w:color w:val="auto"/>
              </w:rPr>
            </w:pPr>
          </w:p>
        </w:tc>
        <w:tc>
          <w:tcPr>
            <w:tcW w:w="452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Securities and Exchange Commission on September 14, 2021)</w:t>
              </w:r>
            </w:hyperlink>
          </w:p>
        </w:tc>
        <w:tc>
          <w:tcPr>
            <w:tcW w:w="534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Employment Agreement with Sam Klepfish (incorporated by reference to exhibit 10.1 of the Company’s Form 10-Q filed with the</w:t>
              </w:r>
            </w:hyperlink>
          </w:p>
        </w:tc>
      </w:tr>
      <w:tr>
        <w:trPr>
          <w:trHeight w:val="196"/>
        </w:trPr>
        <w:tc>
          <w:tcPr>
            <w:tcW w:w="1100" w:type="dxa"/>
            <w:vAlign w:val="bottom"/>
          </w:tcPr>
          <w:p>
            <w:pPr>
              <w:spacing w:after="0"/>
              <w:rPr>
                <w:sz w:val="17"/>
                <w:szCs w:val="17"/>
                <w:color w:val="auto"/>
              </w:rPr>
            </w:pPr>
          </w:p>
        </w:tc>
        <w:tc>
          <w:tcPr>
            <w:tcW w:w="450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Securities and Exchange Commission on November 21, 2012)</w:t>
              </w:r>
            </w:hyperlink>
          </w:p>
        </w:tc>
        <w:tc>
          <w:tcPr>
            <w:tcW w:w="5360" w:type="dxa"/>
            <w:vAlign w:val="bottom"/>
            <w:gridSpan w:val="1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Loan Agreement between the registrant and Fifth Third Bank effective February 26, 2013 (incorporated by reference to exhibit 10.1 of</w:t>
              </w:r>
            </w:hyperlink>
          </w:p>
        </w:tc>
      </w:tr>
      <w:tr>
        <w:trPr>
          <w:trHeight w:val="196"/>
        </w:trPr>
        <w:tc>
          <w:tcPr>
            <w:tcW w:w="1100" w:type="dxa"/>
            <w:vAlign w:val="bottom"/>
          </w:tcPr>
          <w:p>
            <w:pPr>
              <w:spacing w:after="0"/>
              <w:rPr>
                <w:sz w:val="17"/>
                <w:szCs w:val="17"/>
                <w:color w:val="auto"/>
              </w:rPr>
            </w:pPr>
          </w:p>
        </w:tc>
        <w:tc>
          <w:tcPr>
            <w:tcW w:w="846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the Company’s Current Report on Form 8-K filed with the Securities and Exchange Commission on March 15, 2013)</w:t>
              </w:r>
            </w:hyperlink>
          </w:p>
        </w:tc>
        <w:tc>
          <w:tcPr>
            <w:tcW w:w="140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Security Agreement between the registrant and Fifth Third Bank effective February 26, 2013 (incorporated by reference to exhibit 10.2</w:t>
              </w:r>
            </w:hyperlink>
          </w:p>
        </w:tc>
      </w:tr>
      <w:tr>
        <w:trPr>
          <w:trHeight w:val="196"/>
        </w:trPr>
        <w:tc>
          <w:tcPr>
            <w:tcW w:w="1100" w:type="dxa"/>
            <w:vAlign w:val="bottom"/>
          </w:tcPr>
          <w:p>
            <w:pPr>
              <w:spacing w:after="0"/>
              <w:rPr>
                <w:sz w:val="17"/>
                <w:szCs w:val="17"/>
                <w:color w:val="auto"/>
              </w:rPr>
            </w:pPr>
          </w:p>
        </w:tc>
        <w:tc>
          <w:tcPr>
            <w:tcW w:w="866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of the Company’s Current Report on Form 8-K filed with the Securities and Exchange Commission on March 15, 2013)</w:t>
              </w:r>
            </w:hyperlink>
          </w:p>
        </w:tc>
        <w:tc>
          <w:tcPr>
            <w:tcW w:w="120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Mortgage by registrant in favor of Fifth Third Bank effective February 26, 2013 (incorporated by reference to exhibit 10.3 of the</w:t>
              </w:r>
            </w:hyperlink>
          </w:p>
        </w:tc>
      </w:tr>
      <w:tr>
        <w:trPr>
          <w:trHeight w:val="196"/>
        </w:trPr>
        <w:tc>
          <w:tcPr>
            <w:tcW w:w="1100" w:type="dxa"/>
            <w:vAlign w:val="bottom"/>
          </w:tcPr>
          <w:p>
            <w:pPr>
              <w:spacing w:after="0"/>
              <w:rPr>
                <w:sz w:val="17"/>
                <w:szCs w:val="17"/>
                <w:color w:val="auto"/>
              </w:rPr>
            </w:pPr>
          </w:p>
        </w:tc>
        <w:tc>
          <w:tcPr>
            <w:tcW w:w="820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Company’s Current Report on Form 8-K filed with the Securities and Exchange Commission on March 15, 2013)</w:t>
              </w:r>
            </w:hyperlink>
          </w:p>
        </w:tc>
        <w:tc>
          <w:tcPr>
            <w:tcW w:w="166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Note by registrant in favor of Fifth Third Bank effective February 26, 2013 (incorporated by reference to exhibit 10.4 of the Company’s</w:t>
              </w:r>
            </w:hyperlink>
          </w:p>
        </w:tc>
      </w:tr>
      <w:tr>
        <w:trPr>
          <w:trHeight w:val="196"/>
        </w:trPr>
        <w:tc>
          <w:tcPr>
            <w:tcW w:w="1100" w:type="dxa"/>
            <w:vAlign w:val="bottom"/>
          </w:tcPr>
          <w:p>
            <w:pPr>
              <w:spacing w:after="0"/>
              <w:rPr>
                <w:sz w:val="17"/>
                <w:szCs w:val="17"/>
                <w:color w:val="auto"/>
              </w:rPr>
            </w:pPr>
          </w:p>
        </w:tc>
        <w:tc>
          <w:tcPr>
            <w:tcW w:w="98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Current Report on Form 8-K filed with the Securities and Exchange Commission on March 15, 2013)</w:t>
              </w:r>
            </w:hyperlink>
          </w:p>
        </w:tc>
      </w:tr>
      <w:tr>
        <w:trPr>
          <w:trHeight w:val="20"/>
        </w:trPr>
        <w:tc>
          <w:tcPr>
            <w:tcW w:w="1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Agreement with Sam Klepfish dated as of March 29, 2017 (incorporated by reference to the Company’s Form 10-K filed</w:t>
              </w:r>
            </w:hyperlink>
          </w:p>
        </w:tc>
      </w:tr>
      <w:tr>
        <w:trPr>
          <w:trHeight w:val="196"/>
        </w:trPr>
        <w:tc>
          <w:tcPr>
            <w:tcW w:w="1100" w:type="dxa"/>
            <w:vAlign w:val="bottom"/>
          </w:tcPr>
          <w:p>
            <w:pPr>
              <w:spacing w:after="0"/>
              <w:rPr>
                <w:sz w:val="17"/>
                <w:szCs w:val="17"/>
                <w:color w:val="auto"/>
              </w:rPr>
            </w:pPr>
          </w:p>
        </w:tc>
        <w:tc>
          <w:tcPr>
            <w:tcW w:w="484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with the Securities and Exchange Commission on March 30, 2017)</w:t>
              </w:r>
            </w:hyperlink>
          </w:p>
        </w:tc>
        <w:tc>
          <w:tcPr>
            <w:tcW w:w="502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Asset Purchase Agreement dated as of January 22, 2018 by and among Innovative Gourmet, LLC, a subsidiary of the registrant, and</w:t>
              </w:r>
            </w:hyperlink>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igourmet LLC and igourmet NY LLC (incorporated by reference to the Company’s Form 8-K filed with the Securities and Exchange</w:t>
              </w:r>
            </w:hyperlink>
          </w:p>
        </w:tc>
      </w:tr>
      <w:tr>
        <w:trPr>
          <w:trHeight w:val="196"/>
        </w:trPr>
        <w:tc>
          <w:tcPr>
            <w:tcW w:w="1100" w:type="dxa"/>
            <w:vAlign w:val="bottom"/>
          </w:tcPr>
          <w:p>
            <w:pPr>
              <w:spacing w:after="0"/>
              <w:rPr>
                <w:sz w:val="17"/>
                <w:szCs w:val="17"/>
                <w:color w:val="auto"/>
              </w:rPr>
            </w:pPr>
          </w:p>
        </w:tc>
        <w:tc>
          <w:tcPr>
            <w:tcW w:w="98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Commission on January 30, 2018)</w:t>
              </w:r>
            </w:hyperlink>
          </w:p>
        </w:tc>
      </w:tr>
      <w:tr>
        <w:trPr>
          <w:trHeight w:val="20"/>
        </w:trPr>
        <w:tc>
          <w:tcPr>
            <w:tcW w:w="1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Loan Sale Agreement dated as of January 10, 2018 between Food Funding, LLC, a subsidiary of the registrant and UPS Capital</w:t>
              </w:r>
            </w:hyperlink>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Business Credit (incorporated by reference to the Company’s Form 8-K filed with the Securities and Exchange Commission on January</w:t>
              </w:r>
            </w:hyperlink>
          </w:p>
        </w:tc>
      </w:tr>
      <w:tr>
        <w:trPr>
          <w:trHeight w:val="196"/>
        </w:trPr>
        <w:tc>
          <w:tcPr>
            <w:tcW w:w="1100" w:type="dxa"/>
            <w:vAlign w:val="bottom"/>
          </w:tcPr>
          <w:p>
            <w:pPr>
              <w:spacing w:after="0"/>
              <w:rPr>
                <w:sz w:val="17"/>
                <w:szCs w:val="17"/>
                <w:color w:val="auto"/>
              </w:rPr>
            </w:pPr>
          </w:p>
        </w:tc>
        <w:tc>
          <w:tcPr>
            <w:tcW w:w="70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5"/>
              </w:rPr>
            </w:pPr>
            <w:hyperlink r:id="rId95">
              <w:r>
                <w:rPr>
                  <w:rFonts w:ascii="Times New Roman" w:cs="Times New Roman" w:eastAsia="Times New Roman" w:hAnsi="Times New Roman"/>
                  <w:sz w:val="18"/>
                  <w:szCs w:val="18"/>
                  <w:color w:val="0000EE"/>
                  <w:w w:val="95"/>
                </w:rPr>
                <w:t>30, 2018)</w:t>
              </w:r>
            </w:hyperlink>
          </w:p>
        </w:tc>
        <w:tc>
          <w:tcPr>
            <w:tcW w:w="1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6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Fifth Amendment to Restated Loan Agreement dated February 28, 2018 between Fifth Third Bank and the registrant and its subsidiaries</w:t>
              </w:r>
            </w:hyperlink>
          </w:p>
        </w:tc>
      </w:tr>
      <w:tr>
        <w:trPr>
          <w:trHeight w:val="196"/>
        </w:trPr>
        <w:tc>
          <w:tcPr>
            <w:tcW w:w="1100" w:type="dxa"/>
            <w:vAlign w:val="bottom"/>
          </w:tcPr>
          <w:p>
            <w:pPr>
              <w:spacing w:after="0"/>
              <w:rPr>
                <w:sz w:val="17"/>
                <w:szCs w:val="17"/>
                <w:color w:val="auto"/>
              </w:rPr>
            </w:pPr>
          </w:p>
        </w:tc>
        <w:tc>
          <w:tcPr>
            <w:tcW w:w="98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(incorporated by reference to the Company’s Form 10-K filed with the Securities and Exchange Commission on March 29, 2018).</w:t>
              </w:r>
            </w:hyperlink>
          </w:p>
        </w:tc>
      </w:tr>
      <w:tr>
        <w:trPr>
          <w:trHeight w:val="453"/>
        </w:trPr>
        <w:tc>
          <w:tcPr>
            <w:tcW w:w="1100" w:type="dxa"/>
            <w:vAlign w:val="bottom"/>
          </w:tcPr>
          <w:p>
            <w:pPr>
              <w:spacing w:after="0"/>
              <w:rPr>
                <w:sz w:val="24"/>
                <w:szCs w:val="24"/>
                <w:color w:val="auto"/>
              </w:rPr>
            </w:pPr>
          </w:p>
        </w:tc>
        <w:tc>
          <w:tcPr>
            <w:tcW w:w="4500" w:type="dxa"/>
            <w:vAlign w:val="bottom"/>
            <w:tcBorders>
              <w:top w:val="single" w:sz="8" w:color="0000EE"/>
            </w:tcBorders>
            <w:gridSpan w:val="4"/>
          </w:tcPr>
          <w:p>
            <w:pPr>
              <w:ind w:left="4300"/>
              <w:spacing w:after="0"/>
              <w:rPr>
                <w:sz w:val="20"/>
                <w:szCs w:val="20"/>
                <w:color w:val="auto"/>
              </w:rPr>
            </w:pPr>
            <w:r>
              <w:rPr>
                <w:rFonts w:ascii="Times New Roman" w:cs="Times New Roman" w:eastAsia="Times New Roman" w:hAnsi="Times New Roman"/>
                <w:sz w:val="18"/>
                <w:szCs w:val="18"/>
                <w:color w:val="auto"/>
                <w:w w:val="99"/>
              </w:rPr>
              <w:t>72</w:t>
            </w: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Index</w:t>
            </w:r>
          </w:p>
        </w:tc>
        <w:tc>
          <w:tcPr>
            <w:tcW w:w="2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Promissory Note of the registrant and its subsidiaries in favor of Fifth Third Bank dated as of February 28, 2018 (incorporated by</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14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reference to the Company’s Form 10-K filed with the Securities and Exchange Commission on March 29, 2018).</w:t>
              </w:r>
            </w:hyperlink>
          </w:p>
        </w:tc>
        <w:tc>
          <w:tcPr>
            <w:tcW w:w="1720" w:type="dxa"/>
            <w:vAlign w:val="bottom"/>
            <w:gridSpan w:val="3"/>
          </w:tcPr>
          <w:p>
            <w:pPr>
              <w:spacing w:after="0"/>
              <w:rPr>
                <w:sz w:val="17"/>
                <w:szCs w:val="17"/>
                <w:color w:val="auto"/>
              </w:rPr>
            </w:pPr>
          </w:p>
        </w:tc>
      </w:tr>
      <w:tr>
        <w:trPr>
          <w:trHeight w:val="41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3"/>
              </w:rPr>
              <w:t>10.11</w:t>
            </w:r>
          </w:p>
        </w:tc>
        <w:tc>
          <w:tcPr>
            <w:tcW w:w="700" w:type="dxa"/>
            <w:vAlign w:val="bottom"/>
          </w:tcPr>
          <w:p>
            <w:pPr>
              <w:spacing w:after="0"/>
              <w:rPr>
                <w:sz w:val="24"/>
                <w:szCs w:val="24"/>
                <w:color w:val="auto"/>
              </w:rPr>
            </w:pP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Draw Promissory Note of the registrant and its subsidiaries in favor of Fifth Third Bank dated as of March 13, 2018 (incorporated by</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14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reference to the Company’s Form 10-K filed with the Securities and Exchange Commission on March 29, 2018).</w:t>
              </w:r>
            </w:hyperlink>
          </w:p>
        </w:tc>
        <w:tc>
          <w:tcPr>
            <w:tcW w:w="1720" w:type="dxa"/>
            <w:vAlign w:val="bottom"/>
            <w:gridSpan w:val="3"/>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Master Loan and Security Agreement dated March 13, 2018 between Fifth Third Bank and the registrant and its subsidiaries</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8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(incorporated by reference to the Company’s Form 10-K filed with the Securities and Exchange Commission on March 29, 2018).</w:t>
              </w:r>
            </w:hyperlink>
          </w:p>
        </w:tc>
        <w:tc>
          <w:tcPr>
            <w:tcW w:w="480" w:type="dxa"/>
            <w:vAlign w:val="bottom"/>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Employment Agreement with Sam Klepfish dated as of January 28, 2019 (incorporated by reference to the Company’s Form 8-K filed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with the Securities and Exchange Commission on February 1, 2019)</w:t>
              </w:r>
            </w:hyperlink>
          </w:p>
        </w:tc>
      </w:tr>
      <w:tr>
        <w:trPr>
          <w:trHeight w:val="20"/>
        </w:trPr>
        <w:tc>
          <w:tcPr>
            <w:tcW w:w="1100" w:type="dxa"/>
            <w:vAlign w:val="bottom"/>
            <w:gridSpan w:val="2"/>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Director Agreement dated as of January 28, 2019 (incorporated by reference to the Company’s Form 8-K filed with the</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0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Securities and Exchange Commission on February 1, 2019)</w:t>
              </w:r>
            </w:hyperlink>
          </w:p>
        </w:tc>
        <w:tc>
          <w:tcPr>
            <w:tcW w:w="5560" w:type="dxa"/>
            <w:vAlign w:val="bottom"/>
            <w:gridSpan w:val="9"/>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Eighth Amendment to Restated Loan Agreement dated as of November 9, 2019 between Fifth Third Bank, National Association, and the</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Registrant and certain of its subsidiaries (incorporated by reference to the Company’s Form 10-Q filed with the Securities and Exchange</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Commission on November 14, 2019).</w:t>
              </w:r>
            </w:hyperlink>
          </w:p>
        </w:tc>
      </w:tr>
      <w:tr>
        <w:trPr>
          <w:trHeight w:val="20"/>
        </w:trPr>
        <w:tc>
          <w:tcPr>
            <w:tcW w:w="1100" w:type="dxa"/>
            <w:vAlign w:val="bottom"/>
            <w:gridSpan w:val="2"/>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Promissory Note effective November 9, 2019 between Fifth Third Bank, National Association, and Innovative Food Properties, LLC, a</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wholly-owned subsidiary of the Registrant (incorporated by reference to the Company’s Form 10-Q filed with the Securities and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Exchange Commission on November 14, 2019).</w:t>
              </w:r>
            </w:hyperlink>
          </w:p>
        </w:tc>
      </w:tr>
      <w:tr>
        <w:trPr>
          <w:trHeight w:val="20"/>
        </w:trPr>
        <w:tc>
          <w:tcPr>
            <w:tcW w:w="1100" w:type="dxa"/>
            <w:vAlign w:val="bottom"/>
            <w:gridSpan w:val="2"/>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Mortgage, Assignment of Leases, Fixture Filing and Security Agreement date as of November 9, 2019 between Fifth Third Bank,</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National Association, and Innovative Food Properties, LLC, a wholly-owned subsidiary of the Registrant (incorporated by reference to</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 Company’s Form 10-Q filed with the Securities and Exchange Commission on November 14, 2019).</w:t>
              </w:r>
            </w:hyperlink>
          </w:p>
        </w:tc>
      </w:tr>
      <w:tr>
        <w:trPr>
          <w:trHeight w:val="20"/>
        </w:trPr>
        <w:tc>
          <w:tcPr>
            <w:tcW w:w="1100" w:type="dxa"/>
            <w:vAlign w:val="bottom"/>
            <w:gridSpan w:val="2"/>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Agreement for Purchase and Sale of Real Estate dated as of August 9, 2019 (incorporated by reference to the Company’s Form 10-Q</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filed with the Securities and Exchange Commission on August 14, 2019).</w:t>
              </w:r>
            </w:hyperlink>
          </w:p>
        </w:tc>
      </w:tr>
      <w:tr>
        <w:trPr>
          <w:trHeight w:val="20"/>
        </w:trPr>
        <w:tc>
          <w:tcPr>
            <w:tcW w:w="1100" w:type="dxa"/>
            <w:vAlign w:val="bottom"/>
            <w:gridSpan w:val="2"/>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Securities Purchase Agreement dated August 26, 2021 between the Company and each of JCP Investment Partnership LP, Bandera</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Master Fund L.P. and SV Asset Management LLC. *(incorporated by reference to the Company’s Form 8-K filed with the Securities</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and Exchange Commission on August 31, 2021).</w:t>
              </w:r>
            </w:hyperlink>
          </w:p>
        </w:tc>
      </w:tr>
      <w:tr>
        <w:trPr>
          <w:trHeight w:val="20"/>
        </w:trPr>
        <w:tc>
          <w:tcPr>
            <w:tcW w:w="1100" w:type="dxa"/>
            <w:vAlign w:val="bottom"/>
            <w:gridSpan w:val="2"/>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Loan Agreement dated as of June 6, 2022 between the Registrant, Innovative Food Properties, LLC and MapleMark Bank (FL, IL)</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(incorporated by reference to the Company’s Form 8-K filed with the Securities and Exchange Commission on June 14, 2022).</w:t>
              </w:r>
            </w:hyperlink>
          </w:p>
        </w:tc>
      </w:tr>
      <w:tr>
        <w:trPr>
          <w:trHeight w:val="20"/>
        </w:trPr>
        <w:tc>
          <w:tcPr>
            <w:tcW w:w="1100" w:type="dxa"/>
            <w:vAlign w:val="bottom"/>
            <w:gridSpan w:val="2"/>
          </w:tcPr>
          <w:p>
            <w:pPr>
              <w:spacing w:after="0" w:line="20" w:lineRule="exact"/>
              <w:rPr>
                <w:sz w:val="1"/>
                <w:szCs w:val="1"/>
                <w:color w:val="auto"/>
              </w:rPr>
            </w:pPr>
          </w:p>
        </w:tc>
        <w:tc>
          <w:tcPr>
            <w:tcW w:w="5880" w:type="dxa"/>
            <w:vAlign w:val="bottom"/>
            <w:gridSpan w:val="7"/>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Loan Agreement dated as of June 6, 2022 between the Registrant, Innovative Food Properties, LLC and MapleMark Bank (PA)</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by reference to the Company’s Form 8-K filed with the Securities and Exchange Commission on June 14, 2022).</w:t>
              </w:r>
            </w:hyperlink>
          </w:p>
        </w:tc>
      </w:tr>
      <w:tr>
        <w:trPr>
          <w:trHeight w:val="20"/>
        </w:trPr>
        <w:tc>
          <w:tcPr>
            <w:tcW w:w="1100" w:type="dxa"/>
            <w:vAlign w:val="bottom"/>
            <w:gridSpan w:val="2"/>
          </w:tcPr>
          <w:p>
            <w:pPr>
              <w:spacing w:after="0" w:line="20" w:lineRule="exact"/>
              <w:rPr>
                <w:sz w:val="1"/>
                <w:szCs w:val="1"/>
                <w:color w:val="auto"/>
              </w:rPr>
            </w:pPr>
          </w:p>
        </w:tc>
        <w:tc>
          <w:tcPr>
            <w:tcW w:w="5880" w:type="dxa"/>
            <w:vAlign w:val="bottom"/>
            <w:gridSpan w:val="7"/>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Loan Agreement dated as of June 6, 2022 between the Registrant and MapleMark Bank (incorporated by reference to the Company’s</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8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8-K filed with the Securities and Exchange Commission on June 14, 2022).</w:t>
              </w:r>
            </w:hyperlink>
          </w:p>
        </w:tc>
        <w:tc>
          <w:tcPr>
            <w:tcW w:w="3980" w:type="dxa"/>
            <w:vAlign w:val="bottom"/>
            <w:gridSpan w:val="6"/>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98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Board Observer Agreement dated as of November 28, 2022 between the Registrant and Denver J. Smith (incorporated by reference to</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the Company’s Form 8-K filed with the Securities and Exchange Commission on November 29, 2022).</w:t>
              </w:r>
            </w:hyperlink>
          </w:p>
        </w:tc>
      </w:tr>
      <w:tr>
        <w:trPr>
          <w:trHeight w:val="453"/>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Borders>
              <w:top w:val="single" w:sz="8" w:color="0000EE"/>
            </w:tcBorders>
            <w:gridSpan w:val="5"/>
          </w:tcPr>
          <w:p>
            <w:pPr>
              <w:ind w:left="430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01"/>
        </w:trPr>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08" w:right="47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Index</w:t>
            </w:r>
          </w:p>
        </w:tc>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9860" w:type="dxa"/>
            <w:vAlign w:val="bottom"/>
            <w:gridSpan w:val="11"/>
          </w:tcPr>
          <w:p>
            <w:pPr>
              <w:ind w:left="20"/>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Employment Agreement with Robert William Bennett dated as of February 3, 2023 (incorporated by reference to the Company’s Form</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20" w:type="dxa"/>
            <w:vAlign w:val="bottom"/>
            <w:tcBorders>
              <w:top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8-K filed with the Securities and Exchange Commission on February 7, 2023)</w:t>
              </w:r>
            </w:hyperlink>
          </w:p>
        </w:tc>
        <w:tc>
          <w:tcPr>
            <w:tcW w:w="140" w:type="dxa"/>
            <w:vAlign w:val="bottom"/>
            <w:gridSpan w:val="3"/>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9860" w:type="dxa"/>
            <w:vAlign w:val="bottom"/>
            <w:gridSpan w:val="11"/>
          </w:tcPr>
          <w:p>
            <w:pPr>
              <w:ind w:left="20"/>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First Amendment to the Employment Agreement with Robert William Bennett dated as of November 3, 2023 (incorporated by reference</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40" w:type="dxa"/>
            <w:vAlign w:val="bottom"/>
            <w:tcBorders>
              <w:top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to the Company’s Form 8-K filed with the Securities and Exchange Commission on November 9, 2023)</w:t>
              </w:r>
            </w:hyperlink>
          </w:p>
        </w:tc>
        <w:tc>
          <w:tcPr>
            <w:tcW w:w="20" w:type="dxa"/>
            <w:vAlign w:val="bottom"/>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9860" w:type="dxa"/>
            <w:vAlign w:val="bottom"/>
            <w:gridSpan w:val="11"/>
          </w:tcPr>
          <w:p>
            <w:pPr>
              <w:ind w:left="20"/>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Employment Agreement with Brady Smallwood dated as of April 14, 2023 (incorporated by reference to the Company’s Form 8-K filed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with the Securities and Exchange Commission on May 17, 2023)</w:t>
              </w:r>
            </w:hyperlink>
          </w:p>
        </w:tc>
        <w:tc>
          <w:tcPr>
            <w:tcW w:w="512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9860" w:type="dxa"/>
            <w:vAlign w:val="bottom"/>
            <w:tcBorders>
              <w:bottom w:val="single" w:sz="8" w:color="0000EE"/>
            </w:tcBorders>
            <w:gridSpan w:val="11"/>
          </w:tcPr>
          <w:p>
            <w:pPr>
              <w:ind w:left="20"/>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Non-Plan Stock-Appreciation Right Award Grant Notice and Award Agreement with Brady Smallwood dated as of July 7, 2023</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1"/>
          </w:tcPr>
          <w:p>
            <w:pPr>
              <w:ind w:left="20"/>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(incorporated by reference to the Company’s Form 8-K filed with the Securities and Exchange Commission on July 12, 2023)</w:t>
              </w:r>
            </w:hyperlink>
          </w:p>
        </w:tc>
      </w:tr>
      <w:tr>
        <w:trPr>
          <w:trHeight w:val="20"/>
        </w:trPr>
        <w:tc>
          <w:tcPr>
            <w:tcW w:w="110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9860" w:type="dxa"/>
            <w:vAlign w:val="bottom"/>
            <w:gridSpan w:val="11"/>
          </w:tcPr>
          <w:p>
            <w:pPr>
              <w:ind w:left="20"/>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Employment Agreement with Gary Schubert dated as of December 29, 2023 (incorporated by reference to the Company’s Form 8-K</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filed with the Securities and Exchange Commission on January 3, 2024)</w:t>
              </w:r>
            </w:hyperlink>
          </w:p>
        </w:tc>
        <w:tc>
          <w:tcPr>
            <w:tcW w:w="4320" w:type="dxa"/>
            <w:vAlign w:val="bottom"/>
            <w:tcBorders>
              <w:top w:val="single" w:sz="8" w:color="0000EE"/>
            </w:tcBorders>
            <w:gridSpan w:val="4"/>
          </w:tcPr>
          <w:p>
            <w:pPr>
              <w:spacing w:after="0"/>
              <w:rPr>
                <w:sz w:val="17"/>
                <w:szCs w:val="17"/>
                <w:color w:val="auto"/>
              </w:rPr>
            </w:pPr>
          </w:p>
        </w:tc>
        <w:tc>
          <w:tcPr>
            <w:tcW w:w="320" w:type="dxa"/>
            <w:vAlign w:val="bottom"/>
            <w:gridSpan w:val="4"/>
          </w:tcPr>
          <w:p>
            <w:pPr>
              <w:spacing w:after="0"/>
              <w:rPr>
                <w:sz w:val="17"/>
                <w:szCs w:val="17"/>
                <w:color w:val="auto"/>
              </w:rPr>
            </w:pPr>
          </w:p>
        </w:tc>
      </w:tr>
      <w:tr>
        <w:trPr>
          <w:trHeight w:val="41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700" w:type="dxa"/>
            <w:vAlign w:val="bottom"/>
          </w:tcPr>
          <w:p>
            <w:pPr>
              <w:spacing w:after="0"/>
              <w:rPr>
                <w:sz w:val="24"/>
                <w:szCs w:val="24"/>
                <w:color w:val="auto"/>
              </w:rPr>
            </w:pPr>
          </w:p>
        </w:tc>
        <w:tc>
          <w:tcPr>
            <w:tcW w:w="9860" w:type="dxa"/>
            <w:vAlign w:val="bottom"/>
            <w:tcBorders>
              <w:bottom w:val="single" w:sz="8" w:color="0000EE"/>
            </w:tcBorders>
            <w:gridSpan w:val="11"/>
          </w:tcPr>
          <w:p>
            <w:pPr>
              <w:ind w:left="20"/>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Code of Ethical Conduct (incorporated by reference to exhibit 14.1 of the Company’s Form 8-K filed with the Securities and Exchange</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1"/>
          </w:tcPr>
          <w:p>
            <w:pPr>
              <w:ind w:left="20"/>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Commission on July 12, 2023)</w:t>
              </w:r>
            </w:hyperlink>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20" w:hanging="1117"/>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2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Rule 13a-14(a) Certification of Chief Executive Officer</w:t>
            </w:r>
          </w:p>
        </w:tc>
        <w:tc>
          <w:tcPr>
            <w:tcW w:w="36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38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w w:val="99"/>
              </w:rPr>
              <w:t>Rule 13a-14(a) Certification of Principal Accounting Officer</w:t>
            </w: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9"/>
              </w:rPr>
              <w:t>Rule 1350 Certification of Chief Executive Officer</w:t>
            </w:r>
          </w:p>
        </w:tc>
        <w:tc>
          <w:tcPr>
            <w:tcW w:w="700" w:type="dxa"/>
            <w:vAlign w:val="bottom"/>
            <w:gridSpan w:val="3"/>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Rule 1350 Certification of Principal Accounting Officer</w:t>
            </w: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4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4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Certain schedules have been omitted pursuant to Item 601(a)(5) of Regulation S-K under the Securities Act. The Company agrees to furnish supplementally any omitted schedules to the Securities and Exchange Commission upon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-7620</wp:posOffset>
            </wp:positionV>
            <wp:extent cx="18865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tcPr>
          <w:p>
            <w:pPr>
              <w:spacing w:after="0"/>
              <w:rPr>
                <w:sz w:val="20"/>
                <w:szCs w:val="20"/>
                <w:color w:val="auto"/>
              </w:rPr>
            </w:pPr>
          </w:p>
        </w:tc>
        <w:tc>
          <w:tcPr>
            <w:tcW w:w="38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Robert William Bennett</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William Bennett</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Gary Schubert</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Hank Cohn</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Hank Cohn</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Jefferson Gramm</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Jefferson Gramm</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James C. Pappas</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Chairman</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C. Pappas</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Brady Smallwood</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Brady Smallwood</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Mark Schmulen</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Schmulen</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Sam Klepfish</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Sam Klepfish</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Denver J. Smith</w:t>
            </w:r>
          </w:p>
        </w:tc>
        <w:tc>
          <w:tcPr>
            <w:tcW w:w="4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Denver J. Smith</w:t>
            </w:r>
          </w:p>
        </w:tc>
        <w:tc>
          <w:tcPr>
            <w:tcW w:w="108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414"/>
        </w:trPr>
        <w:tc>
          <w:tcPr>
            <w:tcW w:w="2740" w:type="dxa"/>
            <w:vAlign w:val="bottom"/>
          </w:tcPr>
          <w:p>
            <w:pPr>
              <w:spacing w:after="0"/>
              <w:rPr>
                <w:sz w:val="24"/>
                <w:szCs w:val="24"/>
                <w:color w:val="auto"/>
              </w:rPr>
            </w:pPr>
          </w:p>
        </w:tc>
        <w:tc>
          <w:tcPr>
            <w:tcW w:w="492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0960"/>
          </w:cols>
          <w:pgMar w:left="460" w:top="121"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SCHEDULE OF SUBSIDIARIES</w:t>
      </w:r>
    </w:p>
    <w:p>
      <w:pPr>
        <w:sectPr>
          <w:pgSz w:w="11900" w:h="16838" w:orient="portrait"/>
          <w:cols w:equalWidth="0" w:num="1">
            <w:col w:w="10139"/>
          </w:cols>
          <w:pgMar w:left="320" w:top="333" w:right="1440"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Innovations,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New Media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Gourmet, Inc. (d/b/a/ For The Gourmet,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Gourmet Foodservice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Artisan Specialty Foods,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Gourmet Foodservice Group Warehouse,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Gourmeting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Gourmet,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Innovations,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Innovations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Innovations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Food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Foods Innovations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 Foods,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PlantBelly,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 Innovations,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Foods,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Gourmet Partnerships, LLC</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4380" w:space="720"/>
            <w:col w:w="5039"/>
          </w:cols>
          <w:pgMar w:left="320" w:top="333" w:right="1440"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William Bennett,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Innovative Food Holdings, Inc. and Subsidiaries;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7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286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2286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 Chief Executive Officer</w:t>
      </w:r>
    </w:p>
    <w:p>
      <w:pPr>
        <w:sectPr>
          <w:pgSz w:w="11900" w:h="16838" w:orient="portrait"/>
          <w:cols w:equalWidth="0" w:num="1">
            <w:col w:w="11240"/>
          </w:cols>
          <w:pgMar w:left="320" w:top="33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Innovative Food Holdings, Inc. and Subsidiaries;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7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27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 Chief Financial Officer</w:t>
      </w:r>
    </w:p>
    <w:p>
      <w:pPr>
        <w:sectPr>
          <w:pgSz w:w="11900" w:h="16838" w:orient="portrait"/>
          <w:cols w:equalWidth="0" w:num="1">
            <w:col w:w="11240"/>
          </w:cols>
          <w:pgMar w:left="320" w:top="33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Innovative Food Holdings, Inc. and Subsidiaries (the “Company”) on Form 10-K for the year ended December 31, 2023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151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Innovative Food Holdings, Inc. and Subsidiaries (the “Company”) on Form 10-K for the year ended December 31, 2023 as filed with the Securities and Exchange Commission on the date hereof (the “Report”), I, Gary Schubert,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Letter"/>
      <w:start w:val="6"/>
    </w:lvl>
  </w:abstractNum>
  <w:abstractNum w:abstractNumId="10">
    <w:nsid w:val="3F2DBA31"/>
    <w:multiLevelType w:val="hybridMultilevel"/>
    <w:lvl w:ilvl="0">
      <w:lvlJc w:val="left"/>
      <w:lvlText w:val="(%1)"/>
      <w:numFmt w:val="lowerLetter"/>
      <w:start w:val="9"/>
    </w:lvl>
  </w:abstractNum>
  <w:abstractNum w:abstractNumId="11">
    <w:nsid w:val="7C83E458"/>
    <w:multiLevelType w:val="hybridMultilevel"/>
    <w:lvl w:ilvl="0">
      <w:lvlJc w:val="left"/>
      <w:lvlText w:val="(%1)"/>
      <w:numFmt w:val="lowerLetter"/>
      <w:start w:val="35"/>
    </w:lvl>
  </w:abstractNum>
  <w:abstractNum w:abstractNumId="12">
    <w:nsid w:val="257130A3"/>
    <w:multiLevelType w:val="hybridMultilevel"/>
    <w:lvl w:ilvl="0">
      <w:lvlJc w:val="left"/>
      <w:lvlText w:val="(%1)"/>
      <w:numFmt w:val="lowerLetter"/>
      <w:start w:val="6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8"/>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4"/>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2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84" Type="http://schemas.openxmlformats.org/officeDocument/2006/relationships/hyperlink" Target="http://www.sec.gov/Archives/edgar/data/312257/000118518524000174/ex_627580.htm" TargetMode="External"/><Relationship Id="rId85" Type="http://schemas.openxmlformats.org/officeDocument/2006/relationships/hyperlink" Target="http://www.sec.gov/Archives/edgar/data/312257/000114420405030172/v025859_ex3-1.htm" TargetMode="External"/><Relationship Id="rId86" Type="http://schemas.openxmlformats.org/officeDocument/2006/relationships/hyperlink" Target="http://www.sec.gov/Archives/edgar/data/312257/000118518511000325/ex3-2.htm" TargetMode="External"/><Relationship Id="rId87" Type="http://schemas.openxmlformats.org/officeDocument/2006/relationships/hyperlink" Target="http://www.sec.gov/Archives/edgar/data/312257/000118518518000100/ex3-ii.htm" TargetMode="External"/><Relationship Id="rId88" Type="http://schemas.openxmlformats.org/officeDocument/2006/relationships/hyperlink" Target="http://www.sec.gov/Archives/edgar/data/312257/000118518512002655/ex10-1.htm" TargetMode="External"/><Relationship Id="rId89" Type="http://schemas.openxmlformats.org/officeDocument/2006/relationships/hyperlink" Target="http://www.sec.gov/Archives/edgar/data/312257/000118518513000490/ex10-1.htm" TargetMode="External"/><Relationship Id="rId90" Type="http://schemas.openxmlformats.org/officeDocument/2006/relationships/hyperlink" Target="http://www.sec.gov/Archives/edgar/data/312257/000118518513000490/ex10-2.htm" TargetMode="External"/><Relationship Id="rId91" Type="http://schemas.openxmlformats.org/officeDocument/2006/relationships/hyperlink" Target="http://www.sec.gov/Archives/edgar/data/312257/000118518513000490/ex10-3.htm" TargetMode="External"/><Relationship Id="rId92" Type="http://schemas.openxmlformats.org/officeDocument/2006/relationships/hyperlink" Target="http://www.sec.gov/Archives/edgar/data/312257/000118518513000490/ex10-4.htm" TargetMode="External"/><Relationship Id="rId93" Type="http://schemas.openxmlformats.org/officeDocument/2006/relationships/hyperlink" Target="http://www.sec.gov/Archives/edgar/data/312257/000118518517000701/ex10-24.htm" TargetMode="External"/><Relationship Id="rId94" Type="http://schemas.openxmlformats.org/officeDocument/2006/relationships/hyperlink" Target="http://www.sec.gov/Archives/edgar/data/312257/000118518518000131/ex10-1.htm" TargetMode="External"/><Relationship Id="rId95" Type="http://schemas.openxmlformats.org/officeDocument/2006/relationships/hyperlink" Target="http://www.sec.gov/Archives/edgar/data/312257/000118518518000131/ex10-2.htm" TargetMode="External"/><Relationship Id="rId96" Type="http://schemas.openxmlformats.org/officeDocument/2006/relationships/hyperlink" Target="http://www.sec.gov/Archives/edgar/data/312257/000118518518000523/ex10-28.htm" TargetMode="External"/><Relationship Id="rId97" Type="http://schemas.openxmlformats.org/officeDocument/2006/relationships/hyperlink" Target="http://www.sec.gov/Archives/edgar/data/312257/000118518518000523/ex10-29.htm" TargetMode="External"/><Relationship Id="rId98" Type="http://schemas.openxmlformats.org/officeDocument/2006/relationships/hyperlink" Target="http://www.sec.gov/Archives/edgar/data/312257/000118518518000523/ex10-30.htm" TargetMode="External"/><Relationship Id="rId99" Type="http://schemas.openxmlformats.org/officeDocument/2006/relationships/hyperlink" Target="http://www.sec.gov/Archives/edgar/data/312257/000118518518000523/ex10-31.htm" TargetMode="External"/><Relationship Id="rId100" Type="http://schemas.openxmlformats.org/officeDocument/2006/relationships/hyperlink" Target="http://www.sec.gov/Archives/edgar/data/312257/000118518519000138/ex_133864.htm" TargetMode="External"/><Relationship Id="rId101" Type="http://schemas.openxmlformats.org/officeDocument/2006/relationships/hyperlink" Target="http://www.sec.gov/Archives/edgar/data/312257/000118518519000138/ex_133866.htm" TargetMode="External"/><Relationship Id="rId102" Type="http://schemas.openxmlformats.org/officeDocument/2006/relationships/hyperlink" Target="http://www.sec.gov/Archives/edgar/data/312257/000118518519001610/ex_164754.htm" TargetMode="External"/><Relationship Id="rId103" Type="http://schemas.openxmlformats.org/officeDocument/2006/relationships/hyperlink" Target="http://www.sec.gov/Archives/edgar/data/312257/000118518519001610/ex_164951.htm" TargetMode="External"/><Relationship Id="rId104" Type="http://schemas.openxmlformats.org/officeDocument/2006/relationships/hyperlink" Target="http://www.sec.gov/Archives/edgar/data/312257/000118518519001610/ex_164952.htm" TargetMode="External"/><Relationship Id="rId105" Type="http://schemas.openxmlformats.org/officeDocument/2006/relationships/hyperlink" Target="http://www.sec.gov/Archives/edgar/data/312257/000118518519001152/ex_155331.htm" TargetMode="External"/><Relationship Id="rId106" Type="http://schemas.openxmlformats.org/officeDocument/2006/relationships/hyperlink" Target="http://www.sec.gov/Archives/edgar/data/312257/000118518521001227/ex_280161.htm" TargetMode="External"/><Relationship Id="rId107" Type="http://schemas.openxmlformats.org/officeDocument/2006/relationships/hyperlink" Target="http://www.sec.gov/Archives/edgar/data/312257/000118518522000739/ex_386812.htm" TargetMode="External"/><Relationship Id="rId108" Type="http://schemas.openxmlformats.org/officeDocument/2006/relationships/hyperlink" Target="http://www.sec.gov/Archives/edgar/data/312257/000118518522000739/ex_386652.htm" TargetMode="External"/><Relationship Id="rId109" Type="http://schemas.openxmlformats.org/officeDocument/2006/relationships/hyperlink" Target="http://www.sec.gov/Archives/edgar/data/312257/000118518522000739/ex_386700.htm" TargetMode="External"/><Relationship Id="rId110" Type="http://schemas.openxmlformats.org/officeDocument/2006/relationships/hyperlink" Target="http://www.sec.gov/Archives/edgar/data/312257/000118518522001363/ex_451196.htm" TargetMode="External"/><Relationship Id="rId111" Type="http://schemas.openxmlformats.org/officeDocument/2006/relationships/hyperlink" Target="http://www.sec.gov/Archives/edgar/data/312257/000118518523000092/ex_472175.htm" TargetMode="External"/><Relationship Id="rId112" Type="http://schemas.openxmlformats.org/officeDocument/2006/relationships/hyperlink" Target="http://www.sec.gov/Archives/edgar/data/312257/000118518523001161/ex_594404.htm" TargetMode="External"/><Relationship Id="rId113" Type="http://schemas.openxmlformats.org/officeDocument/2006/relationships/hyperlink" Target="http://www.sec.gov/Archives/edgar/data/312257/000118518523000537/ex_522254.htm" TargetMode="External"/><Relationship Id="rId114" Type="http://schemas.openxmlformats.org/officeDocument/2006/relationships/hyperlink" Target="http://www.sec.gov/Archives/edgar/data/312257/000118518523000712/ex_542889.htm" TargetMode="External"/><Relationship Id="rId115" Type="http://schemas.openxmlformats.org/officeDocument/2006/relationships/hyperlink" Target="http://www.sec.gov/Archives/edgar/data/312257/000118518524000018/ex_611646.htm" TargetMode="External"/><Relationship Id="rId116" Type="http://schemas.openxmlformats.org/officeDocument/2006/relationships/hyperlink" Target="http://www.sec.gov/Archives/edgar/data/312257/000118518523000712/ex_5428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2024-03-21T12:10:43Z</dcterms:created>
  <dcterms:modified xsi:type="dcterms:W3CDTF">2024-03-21T12:10:43Z</dcterms:modified>
</cp:coreProperties>
</file>