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2440" w:hanging="203"/>
        <w:spacing w:after="0"/>
        <w:tabs>
          <w:tab w:leader="none" w:pos="2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b w:val="1"/>
          <w:bCs w:val="1"/>
          <w:u w:val="single" w:color="auto"/>
          <w:color w:val="auto"/>
        </w:rPr>
        <w:t>December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4200" w:right="2120" w:hanging="2081"/>
        <w:spacing w:after="0" w:line="537" w:lineRule="auto"/>
        <w:tabs>
          <w:tab w:leader="none" w:pos="23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u w:val="single" w:color="auto"/>
          <w:color w:val="auto"/>
        </w:rPr>
        <w:t>000-09376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-24765</wp:posOffset>
            </wp:positionV>
            <wp:extent cx="140589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INNOVATIVE FOOD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72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5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20-1167761</w:t>
            </w:r>
          </w:p>
        </w:tc>
      </w:tr>
      <w:tr>
        <w:trPr>
          <w:trHeight w:val="198"/>
        </w:trPr>
        <w:tc>
          <w:tcPr>
            <w:tcW w:w="552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2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72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2528 S. 27th Ave.</w:t>
            </w:r>
          </w:p>
        </w:tc>
        <w:tc>
          <w:tcPr>
            <w:tcW w:w="3520" w:type="dxa"/>
            <w:vAlign w:val="bottom"/>
          </w:tcPr>
          <w:p>
            <w:pPr>
              <w:spacing w:after="0"/>
              <w:rPr>
                <w:sz w:val="24"/>
                <w:szCs w:val="24"/>
                <w:color w:val="auto"/>
              </w:rPr>
            </w:pPr>
          </w:p>
        </w:tc>
      </w:tr>
      <w:tr>
        <w:trPr>
          <w:trHeight w:val="238"/>
        </w:trPr>
        <w:tc>
          <w:tcPr>
            <w:tcW w:w="7720" w:type="dxa"/>
            <w:vAlign w:val="bottom"/>
            <w:gridSpan w:val="5"/>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Broadview, Illinois</w:t>
            </w:r>
          </w:p>
        </w:tc>
        <w:tc>
          <w:tcPr>
            <w:tcW w:w="35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60155</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(239) 596-0204</w:t>
            </w:r>
          </w:p>
        </w:tc>
        <w:tc>
          <w:tcPr>
            <w:tcW w:w="15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37"/>
        </w:trPr>
        <w:tc>
          <w:tcPr>
            <w:tcW w:w="7720" w:type="dxa"/>
            <w:vAlign w:val="bottom"/>
            <w:gridSpan w:val="5"/>
          </w:tcPr>
          <w:p>
            <w:pPr>
              <w:jc w:val="center"/>
              <w:ind w:left="34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02" w:right="339" w:bottom="163"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was approximately $32,730,248 as of June 30, 2025, based upon a closing price of $1.30 per share for the registrant’s common stock on such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30, 2026, a total of 54,649,479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180" w:type="dxa"/>
            <w:vAlign w:val="bottom"/>
            <w:gridSpan w:val="8"/>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INNOVATIVE FOOD HOLDINGS, INC.</w:t>
            </w:r>
          </w:p>
        </w:tc>
        <w:tc>
          <w:tcPr>
            <w:tcW w:w="100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gridSpan w:val="8"/>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10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38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8320" w:type="dxa"/>
            <w:vAlign w:val="bottom"/>
            <w:gridSpan w:val="12"/>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180" w:type="dxa"/>
            <w:vAlign w:val="bottom"/>
            <w:gridSpan w:val="8"/>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8220" w:type="dxa"/>
            <w:vAlign w:val="bottom"/>
            <w:gridSpan w:val="11"/>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8480" w:type="dxa"/>
            <w:vAlign w:val="bottom"/>
            <w:gridSpan w:val="1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10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453"/>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400" w:type="dxa"/>
            <w:vAlign w:val="bottom"/>
            <w:tcBorders>
              <w:top w:val="single" w:sz="8" w:color="0000EE"/>
            </w:tcBorders>
            <w:gridSpan w:val="13"/>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78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5900" w:type="dxa"/>
            <w:vAlign w:val="bottom"/>
            <w:gridSpan w:val="6"/>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F-1</w:t>
            </w:r>
          </w:p>
        </w:tc>
      </w:tr>
      <w:tr>
        <w:trPr>
          <w:trHeight w:val="196"/>
        </w:trPr>
        <w:tc>
          <w:tcPr>
            <w:tcW w:w="1000" w:type="dxa"/>
            <w:vAlign w:val="bottom"/>
          </w:tcPr>
          <w:p>
            <w:pPr>
              <w:spacing w:after="0"/>
              <w:rPr>
                <w:sz w:val="17"/>
                <w:szCs w:val="17"/>
                <w:color w:val="auto"/>
              </w:rPr>
            </w:pPr>
          </w:p>
        </w:tc>
        <w:tc>
          <w:tcPr>
            <w:tcW w:w="92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 (PCAOB ID Number 199)</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00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40" w:type="dxa"/>
            <w:vAlign w:val="bottom"/>
            <w:tcBorders>
              <w:left w:val="single" w:sz="8" w:color="0000EE"/>
            </w:tcBorders>
            <w:gridSpan w:val="3"/>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00" w:type="dxa"/>
            <w:vAlign w:val="bottom"/>
            <w:tcBorders>
              <w:top w:val="single" w:sz="8" w:color="0000EE"/>
            </w:tcBorders>
            <w:gridSpan w:val="7"/>
          </w:tcPr>
          <w:p>
            <w:pPr>
              <w:spacing w:after="0"/>
              <w:rPr>
                <w:sz w:val="17"/>
                <w:szCs w:val="17"/>
                <w:color w:val="auto"/>
              </w:rPr>
            </w:pPr>
          </w:p>
        </w:tc>
        <w:tc>
          <w:tcPr>
            <w:tcW w:w="2760" w:type="dxa"/>
            <w:vAlign w:val="bottom"/>
            <w:gridSpan w:val="2"/>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100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Disclosures Regarding Foreign Jurisdictions that Prevent Inspections</w:t>
            </w:r>
          </w:p>
        </w:tc>
        <w:tc>
          <w:tcPr>
            <w:tcW w:w="4260" w:type="dxa"/>
            <w:vAlign w:val="bottom"/>
            <w:gridSpan w:val="5"/>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r>
      <w:tr>
        <w:trPr>
          <w:trHeight w:val="4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6"/>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000" w:type="dxa"/>
            <w:vAlign w:val="bottom"/>
          </w:tcPr>
          <w:p>
            <w:pPr>
              <w:spacing w:after="0"/>
              <w:rPr>
                <w:sz w:val="24"/>
                <w:szCs w:val="24"/>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0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0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00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6"/>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0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Form 10-K Summary</w:t>
            </w:r>
          </w:p>
        </w:tc>
        <w:tc>
          <w:tcPr>
            <w:tcW w:w="6080" w:type="dxa"/>
            <w:vAlign w:val="bottom"/>
            <w:gridSpan w:val="7"/>
          </w:tcPr>
          <w:p>
            <w:pPr>
              <w:spacing w:after="0"/>
              <w:rPr>
                <w:sz w:val="18"/>
                <w:szCs w:val="18"/>
                <w:color w:val="auto"/>
              </w:rPr>
            </w:pPr>
          </w:p>
        </w:tc>
        <w:tc>
          <w:tcPr>
            <w:tcW w:w="10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924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PROVE INACCURATE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or may contain, certain “forward-looking statements” within the meaning of the Private Securities Litigation Reform Act of 1995. Such forward-looking statements involve significant risks and uncertainties. Such statements may include, without limitation, statements with respect to the Company’s plans, objectives, projections, expectations and intentions and other statements identified by words such as “may,” “will,” “could,” “would,” “should,” “believes,” “expects,” “anticipates,” “estimates,” “intends,” “plans,” “potential” or similar expressions. These statements are based upon the current beliefs and expectations of the Company’s management and do not constitute guarantees of future performance. Actual results could differ materially from those contained in the forward-looking statements and are subject to significant risks and uncertainties, including those discussed under “Risk Factors,” as well as those discussed elsewhere in this Form 10-K. Actual results may differ significantly from those set forth in the forward-looking statements. These forward-looking statements involve risks and uncertainties that are subject to change based on various factors (many of which are beyond the Company’s control).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further cautioned not to place undue reliance on these forward-looking statements, which speak only as of the date of this Form 10-K or, in the case of documents referred to or incorporated by reference, the date of those documents.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Form 10-K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“we,” “us,” “our,” “our company,” the “Company,” “IVFH,” or similar terminology refer to Innovative Food Holdings, Inc., a Florida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on June 14, 1979 under the laws of the State of Colorado originally under the name Alpha Solarco Inc. On February 18, 2003, we changed our name to Fiber Application Systems Technology, Ltd. On February 17, 2004, we changed our state of incorporation by merging into Innovative Food Holdings, Inc., a Florida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 is adept at evaluating and certifying the food safety and supply chain capabilities of small batch producers who do not typically sell through broad-based sales channels. We seek out the freshest, most unique, origin-specific gourmet cheese, meat, produce, and premium ingredients available, and distribute them directly from our robust network of vendors and warehouses typically within 24 – 72 hours of an order being placed. We also source, package, and brand a meaningful segment of these products ourselves, enabling us to better control the assortment, offer more flexibility and variety to our customers, and capture additional margin.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leverage this unique, premium assortment to serve the needs of Professional Chefs in settings such as restaurants, hotels, country clubs, national chain accounts, casinos, hospitals and catering houses. We provide these premium customers with products that cannot typically be found through their broadline distributor’s warehouse assortment. We distribute these products directly to Professional Chefs in Chicago through our subsidiary, Artisan Specialty Foods, Inc. (“Artisan”), and nationally through our e-commerce businesses on Amazon.com and our own website. We also drop ship specialty foods to Professional Chefs nationally through the websites of broadline distributors, such as US Foods, Inc (“USF”). Between this variety of sales channels, we are able to serve our Professional Chef customers wherever they are located.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service our customers from two warehouses: a 28K square foot facility in the greater Chicago area, and a 22K square foot facility in the greater Denver area. We have the capabilities to pack and ship frozen, refrigerated, and ambient products, enabling us to sell a broad range of specialty foods. We also have GFSI/SQF certifications, allowing compatibility with the highest standards of food handling supply chains in the world, and the quality and food safety that our premium customers expect from us. These warehouses have the ability to ship packages and pallets of all sizes through overnight shipping. We also leverage our own fleet of trucks to deliver directly to our Professional Chef customers within our reach.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dependent on internal technology systems and third-party platforms to support core operations, including order intake and processing across multiple sales channels, product and pricing data management, vendor communications, inventory recordkeeping, warehouse operations, and shipping and logistics coordination. Order information is transmitted electronically in many cases through integrations and other interfaces to our warehouse operations and vendor partners, and certain workflows may include manual review steps and exception handling. Our warehouse fulfillment processes use a combination of system-generated documentation and manual execution, including paper-based picking in certain facilities, supported by inventory location records and standard operating procedures. We receive shipment status information and delivery confirmations through carrier systems and third-party platforms where available; however, visibility and automation levels vary by carrier and shipment type, including between parcel and freight shipments. Packaging and refrigerant requirements are generally determined using product attributes and shipping configurations maintained in our systems and standard packing protocols, with operational adjustments made by warehouse personnel as appropriate.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distribute thousands of perishable and specialty food products, including origin-specific seafood, domestic and imported meats, exotic game and poultry, artisanal cheeses, freshly prepared meals, caviar, wild and cultivated mushrooms, micro-greens, organic farmed and manufactured food products, estate-bottled olive oils and aged vinegars. Products are sold under both the vendor’s brands and various Company-owned brands.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selection includes high-quality items like Alaskan wild king salmon, Gulf of Mexico day-boat snapper, prime rib of American kurobuta pork, dry-aged buffalo tenderloin, white asparagus, free-range and organic chicken, truffle oils, fennel pollen, fresh morels, Trumpet Royale mushrooms, and artisan cheeses.. These offerings ensure that our nationwide customers have access to the best food products from around the world, delivered quickly and cost-effectively.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 and Logistics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customer service support to customers by telephone, email, and other communication channels. Customer service personnel assist with order placement, product availability, substitutions, product specifications, and delivery-related inquiries. In certain cases, personnel with culinary experience may also provide product usage guidance.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logistics team manages the shipping and delivery process of every package to ensure timely delivery of products to our customers. The logistics team receives shipping information on all products ordered, and packages are monitored from origin to delivery. If delivery service is interrupted, our logistics department begins the process of expediting the package to its destination or potentially reshipping the package with a goal of 100% customer satisfaction. Our logistics team works directly with our suppliers on an ongoing basis, to ensure that the appropriate packaging and shipping specifications are in place at all times.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2024, Innovative Gourmet LLC (“Innovative Gourmet”), which is a wholly-owned subsidiary of the Company, and igourmet, LLC, a Florida limited liability company (“igourmet”), entered into an amended and restated asset purchase agreement (the “Amended and Restates APA”). Pursuant to the Amended and Restates APA, Innovative Gourmet sold to igourmet substantially all of its assets related to marketing and selling certain artisan foods and related drop-ship fulfillment services including the website www. igourmet.com (the “Purchased Assets”), for total consideration of $700,000. This transaction was closed on October 23, 2024. In connection with the closing of the transaction, Innovative Gourmet and igourmet entered into a Transition Services Agreement, dated August 30, 2024, pursuant to which Innovative Gourmet provided certain inventory and fulfilment services related to the Purchased Assets for a period of thirty days after closing pursuant to that certain Transition Services Agreement, dated August 30, 2024, with igourmet.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2024, the Company entered into an asset purchase agreement (the “Golden APA”) with Golden Organics, Inc., a Colorado corporation (the “Golden Organics”), and David Rickard. Pursuant to the Golden APA, the Company (i) purchased substantially all of the properties, business, and assets of Golden Organics used and/or useful in the operation of the Golden Organics’ business of wholesaling bulk organic ingredients and other related food products and (ii) assume certain liabilities and obligations of Golden Organics (such transaction, the “Golden Transaction”) for an aggregate purchase price of $1,580,000, which consists of (a) a cash payment of $1,230,000 after taking into account certain working capital adjustments at the closing of the Golden Transaction and (b) a promissory note of $350,000, payable to Golden Organics (the “Seller Financing Note”), with interest at six percent (6%) per annum for a term of sixty (60) months payable in equal monthly installments with the first payment due one month after the closing. The Seller Financing Note contains default notice and acceleration provisions, including a default interest at twelve percent (12%), a five (5) day grace period, a five percent (5%) late fee, no prepayment penalty and a right of set-off. Under the Golden APA, David Rickard has agreed to provide assistance to the Company for a period of ninety (90) days following the closing with respect to the transitioning of the business and developing new business opportunities without any compensation. The Golden Transaction closed on November 18, 2024.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M Innovations LLC, a Delaware corporation and a wholly owned subsidiary of the Company (“M Innovation”) entered into an asset purchase agreement (the “M Innovation APA”) with M Specialty Foods Inc., a New York corporation (“M Specialty”). Pursuant to the M innovation APA, M Specialty purchased right, title, and interest in and to the assets of M Innovation in exchange of assuming the gift card liability of $174,637.</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 2024, the Company through its subsidiary, Golden Organics, acquired substantially all of LoCo’s (defined below) properties, business, and assets used and/or useful in the operation of LoCo’s business of sourcing and wholesaling food products, and agreed to assume certain liabilities of LoCo for an aggregate purchase price of $304,269, which is payable to LoCo’s lenders for all outstanding and unpaid indebtedness of LoCo, pursuant to that certain asset purchase agreement, dated December 20, 2024 (the “LoCo APA”), with LoCo Food Distribution LLC, a Colorado limited liability company and a wholesaler of food related products (“LoCo”), and Elizabeth G. Mozer and Benjamin Mozer. . In connection with the LoCo APA, Ms. Mozer entered into a consulting services agreement with Golden Organics to provide consulting services for a period of twelve (12) months with the option to extend on a month-to-month basis with respect to the transitioning of the relationships and knowledge concerning the LoCo’s business, which agreement also contains a two-year non-solicitation provision.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Innovative Food Properties LLC, a Delaware limited liability company ("Innovative Properties"), entered into an Agreement of Purchase and Sale dated July 28, 2025, as amended on September 11, 2025, September 29, 2025, and November 13, 2025, with Mountaintop Holdings, LLC, a New York limited liability company ("Mountaintop Holdings"). Pursuant to the agreement, Innovative Properties agreed to sell to Mountaintop Holdings certain real property located at 220 Oak Hill Road, Mountaintop, Pennsylvania 18707, together with all rights, title, improvements, easements, and appurtenant interests, which is improved with warehouse facilities, as well as certain personal property, contracts, and intangibles of Innovative Properties. The sale closed on March 6, 2026, at which time Innovative Properties received gross proceeds of $9.225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specialty foodservice distribution across Local Distribution, National Distribution, and Digital Channels. We have exited the direct-to-consumer ecommerce business. In Digital Channels, we distribute products through drop-ship arrangements and e-commerce channels, including third-party distributor platforms and other sales channels. In Local Distribution, we focus on our Chicago and Denver markets through Artisan and Golden Organics operations. In National Distribution, we serve customers outside of our local footprint through our warehouse network and third-party logistics providers.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revenue is concentrated on a limited number of customers, we may seek to reduce customer concentration over time through channel and customer diversification; however, there can be no assurance that such efforts will be successful.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face intense competition in the marketing of our products and services, it is our belief that there are few companies offering a platform similar to ours, offering a broad range of unique, high quality, chef driven specialty products, for nationwide delivery as soon as the next day. Our primary competition is from local purveyors that supply a limited local market and have a limited range of products. In addition, many purveyors are well established, have reputations for success in the development and marketing of these types of products and services and have significantly greater financial, marketing, distribution, personnel and other resources. These financial and other capabilities permit such companies to implement extensive advertising and promotional campaigns, both generally and in response to efforts by additional competitors such as us, to enter into new markets and introduce new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Business Owners Policy with a general liability per occurrence limit of $1,000,000 and aggregate policy covering $2,000,000 of liability for all entities, as well as building coverage with a limit up to $4,100,000 for its building in Illinois. The Company carries an Auto Policy with non-owned automobile bodily injury and property damage coverage with a limit of $1,000,000 for all entities. The Company also carries an Umbrella policy of up to $11,000,000 which covers all entities, along with two excess umbrella policies that sit over the BOP and Umbrella policies. The excess umbrella policies have limits of $5,000,000 and $6,000,000. The Company carries a Cyber policy of up to $2,000,000 which insures the Company and its subsidiaries. The Company carries a Commercial Property Policy for its building in PA, with a limit of up to $12,350,000. Such insurance may not be sufficient to cover all potential claims against us and additional insurance may not be available in the future at a reasonable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federal and state laws regulate the delivery of fresh food products, requiring specialty foodservice third-party vendors to maintain at least $3,000,000 liability insurance coverage and compliance with Hazard Analysis and Critical Control Point (HACCP) standards. Key regulations include Pennsylvania’s Solid Waste Management Act, Clean Streams Law, Air Pollution Control Act, FDA’s Food Safety Modernization Act, Pennsylvania Food Code, FDA’s Fair Packaging and Labeling Act, Nutrition Labeling and Education Act, PA Food Safety Act, and Pennsylvania’s Weights and Measures Act. Compliance with these regulations is crucial to avoid penalties, ensure food safety, accurate labeling, and maintain profitability, as any changes that hinder our ability or increase costs could adversely impact our net revenues, gross margins,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acquired certain Trade Names in connection with the acquisitions of Golden Organics and LoCo. As of the date of this report, we are not aware of any valid claim or challenges to our right to use the registered trademarks or any counterfeit or other infringement to the registered trademarks.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approximately 70 employees. Our workforce includes personnel supporting warehouse operations and logistics, merchandising and procurement, sales and customer service, and corporate functions, including finance, technology, and human resources. We also utilize seasonal or temporary labor in certain periods. None of our employees are represented by a union.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2528 S. 27th Ave., Broadview, Illinois, 60155; our corporate website is www.ivfh.com; and our telephone number is (239) 596-0204. The contents of our website are not incorporated in or deemed to be a part of this Annual Report on Form 10-K.</w:t>
      </w:r>
    </w:p>
    <w:p>
      <w:pPr>
        <w:sectPr>
          <w:pgSz w:w="11900" w:h="16838" w:orient="portrait"/>
          <w:cols w:equalWidth="0" w:num="1">
            <w:col w:w="11240"/>
          </w:cols>
          <w:pgMar w:left="320" w:top="229"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requiring us to seek additional sources of capital.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had an accumulated deficit of $38,275,076. We had unrestricted cash at December 31, 2025 of $927,468, a decrease of $350,620 compared to December 31, 2024. We also had restricted cash of $507,517, a decrease of $352,264 compared to December 31, 2024. We cannot assure you that we can achieve profitability on a quarterly or annual basis in the future. If revenues grow more slowly than we anticipate, or if operating expenses exceed our expectations or cannot be adjusted accordingly, or other extraordinary events occur, we will incur losses. Our potential success is contingent upon the effective development and commercialization of our services and products, as well as the continued expansion of our product portfolio and customer base, for which we can provide no assurance. Any future success we may achieve will be influenced by numerous factors, including those beyond our control or presently unforeseeable. These factors may include changes in or increased levels of competition, including the entry of additional competitors and increased success by existing competitors, changes in general economic conditions, increases in operating costs, including costs of supplies, personnel, marketing and promotions, reduced margins caused by competitive pressures, taxes, and other economic and non-economic factors. These conditions may have a materially adverse effect upon us or may force us to curtail operations. In addition, we could require additional funds to sustain and expand our sales and marketing activities, particularly if a well-financed competitor emerges. We can give no assurance that financing will be available in amounts or on terms acceptable to us, if at all. Our inability in such instance to obtain sufficient funds from our operations or external sources could require us to curtail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few key customers for most of our revenue and if we were to lose one or more of those clients and be unable to generate new sales to offset such loss, we may be forced to cease or curtail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2003, Next Day Gourmet initially contracted with our subsidiary, Food Innovations, Inc. (“Food Innovations”), to handle the distribution of over 3,000 perishable and specialty food products to customers of USF. Effective January 1, 2018, we executed a contract amendment between Food Innovations, our wholly owned subsidiary, and USF which provides for no limit on automatic annual renewals thereafter if no party gives the other 30 days’ notice of its intent not to renew. Our sales through USF generated gross revenues for us of $26,914,423 in the year ended December 31, 2025, and $31,185,864 in the year ended December 31, 2024. Those amounts contributed 37% and 43% of our total consolidated sales for each of 2025 and 2024, respectively. Other significant customers include Gate Gourmet and Sam’s Club. During the years ended December 31, 2025 and 2024, sales to Gate Gourmet amounted to $11,253,657, or 14% of total consolidated sales, and $11,930,216, or 16% of total consolidated sales, respectively. During the years ended December 31, 2025 and 2024, sales to Sam’s Club amounted to $8,563,465 or 12% of total consolidated sales, and $5,863,377, or 8%, respectively. With the discontinuance of the retail cheese business, we do not anticipate further sales with Sams. Our sales efforts within specialty foodservice are for the most part substantially dependent upon the efforts of the USF sales force. Although we have generated revenues from customers other than USF, if our relationship with USF were to be materially changed and we may not be able to secure alternative revenue streams to mitigate the impact of such a loss, which may result in us significantly curtailing our operations.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 variety of factors, including seasonality and the economic environment, may cause our operating results to fluctuate, leading to volatility in our stock price.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operational results have fluctuated in the past and may fluctuate in the future, depending upon a variety of factors, including changes in economic conditions, and shifts in the timing of holiday related purchases. Although our annual sales have historically had a significant seasonal aspect, this has become less pronounced following the divestment of the assets of igourmet.com and M Innovations LLC (“Mouth”). Additionally, events such as pandemics, strikes, or weather-related delays that interfere with the shipment of goods during the critical holiday season would adversely affect us.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Computer system disruption and cyber security attacks or a data breach could damage our relationships with our customers, harm our reputation, expose us to litigation and adversely affect our business.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systems are subject to damage or interruption from computer viruses, malicious attacks and other security breaches. The possibility of a cyberattack on any one or all of these systems is a serious threat.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business model, we collect, retain, and transmit confidential information over public networks. In addition to our own databases, we use third party service providers to store, process and transmit this information on our behalf. Although we contractually require these service providers to implement and use reasonable security measures, we cannot control third parties and cannot guarantee that a security breach will not occur in the future either at their location or within their systems. We have confidential security measures in place to protect both our physical facilities and digital systems from attacks. Despite these efforts, we may be vulnerable to targeted or random security breaches, acts of vandalism, computer viruses, misplaced or lost data, programming and/or human errors, or other similar events.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growing nature of our e-commerce presence and digital strategy, it is imperative that we and our partners maintain uninterrupted and secure operation of our: (i) computer hardware, (ii) software systems, (iii) customer marketing databases and other customer information, and (iv) ability to email our current and potential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systems are damaged or fail to function properly or reliably, we may incur substantial repair or replacement costs, experience data loss or theft and impediments to our ability to conduct our operations. Any material disruptions in our e-commerce presence or information technology systems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continuously improve our website, it may not attract or retain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potential or existing customers do not find our websites, a convenient place to shop, we may not attract or retain customers and our sales may suffer. To encourage the use of our website, we must continuously improve its accessibility, mobile capabilities, content and ease of use. In addition, customer traffic and our business would be adversely affected if competitors’ websites are perceived as easier to use or better able to satisfy customer needs. Furthermore, e-commerce conversion rates could be adversely affected by a variety of website related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efforts to help grow our business may not be effective.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Maintaining and promoting awareness of our websites is important to our ability to attract and retain visitors. Generating a meaningful return on our investments in marketing initiatives may be difficult. The marketing efforts we implement may not succeed for a variety of reasons, including our inability to execute and implement our plans. External factors beyond our control may also impact the success of our marketing initiatives. Search engines frequently change the algorithms that determine the ranking and display of results of a user’s search and may make other changes to the way results are displayed, which can negatively affect the placement of links to our websites and, therefore, reduce the number of visits to our websites.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growing use of online ad-blocking software, including on mobile devices, may also impact the success of our marketing efforts because we may reach a smaller audience and fail to bring more visitors to our websites. In addition, ongoing privacy regulatory changes may impact the scope and effectiveness of marketing and advertising services generally, including those used related to our websites. We also seek to obtain website visitors through email. If we are unable to successfully deliver emails to potential customers or customers do not open our emails, whether by choice or because those emails are marked as low priority or spam, or for other reasons, our business could be adversely affected. Social networking websites, such as Facebook and others are another source of visits to our websites. As ecommerce and social networking evolve, we must continue to evolve our marketing tactics accordingly and, if we are unable to do so, our business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accurately predict customer demand for our products, we may lose customers or experience increased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expand the volume of products offered to our customers, we may be required or may elect, for business purposes, to increase inventory levels and the number of products maintained in our warehouses. If we overestimate customer demand for our products, excess inventory and outdated merchandise could accumulate, tying up working capital and potentially resulting in reduced warehouse capacity and inventory losses due to damage, theft and obsolescence. If we underestimate customer demand, it may disappoint customers who may turn to our competitors.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our domestic tax liabilities are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evaluated the potential impact of recently enacted legislation, including but not limited to the OBBBA, on its business, financial condition, results of operations, and cash flows. Based on management’s review, the Company concluded the legislation did not have a material impact on its financial condition, results of operations, or cash flows. However, the legislation is complex and may be subject to additional regulatory guidance, interpretation, or implementation requirements. The Company will continue to monitor developments and assess any potential effects as further guidance becomes available.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domestic and international trade policies could materially and adversely affect our business, financial condition, and results of operations. Any import tariffs may increase the cost of key food products and ingredients that we rely on, leading to higher production costs and potential supply chain disruptions. If we are unable to pass these increased costs on to customers through pricing adjustments, our profit margins could be adversely affected. The evolving trade environment may also create uncertainty in supplier relationships, cause delays in sourcing raw materials, and result in fluctuating commodity prices, further impacting our operations.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federal, state and local authorities. Outcomes from these audits could have an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attract and retain key personnel, our business and operating results may be harmed.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depends to a significant degree on the skills, experience, and efforts of key personnel in our senior management team, whose vision for the Company, knowledge of our business, and expertise would be difficult to replace. We have experienced significant turnover in senior leadership and our Board of Directors (the “Board”) during the past 2 years, including the departures of Robert William Bennett as Chief Executive Officer and director, Hank Cohn as a director and Sam Klepfish as a director.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Gary Schubert, our former Chief Financial Officer, was appointed Chief Executive Officer, and we are currently conducting a search for a new Chief Financial Officer. Mr. Schubert had not previously served as Chief Executive Officer of a public company prior to his appointment. If any of our key employees or directors leave, are unable to work, or fail to perform, or if we are unable to recruit and retain qualified replacements and successfully manage leadership transitions, we may be unable to execute our business strategy and our business, financial condition, results of operations, and stock price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manage our growth or operational complexity, which could impair our ability to maintain our operations and execute our business model.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involves operating multiple distribution channels and managing a large supplier base and product portfolio, including Local Distribution (Chicago and Denver operations), National Distribution, and Digital Channels (drop-ship and e-commerce). The execution of this strategy requires effective operational controls, forecasting and procurement discipline, reliable technology systems, and sufficient management and personnel resources. As we seek to increase sales, expand our supplier relationships, and broaden our product assortment, we may experience additional complexity in inventory management, fulfillment operations, customer service, vendor onboarding, and compliance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successfully increase sales to existing customers or attract new customers at the rate we anticipate, and we may not achieve the operational efficiencies or economies of scale required to sustain profitability. Any expansion of our operations could place increased demands on our management team, systems, internal controls, and working capital. Our ability to execute may also depend on our ability to obtain additional capital on acceptable terms, if needed. We can give no assurance that we will be able to successfully implement growth initiatives, finance expansion, or manage a larger operation. If our systems, procedures, or controls are not adequate to support our operational requirements, or if we fail to manage growth and complexity effectively, our business, financial condition, results of operations, liquidity, and stock price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recent acquisitions, dispositions, discontinued operations, facility closures, and leadership transition may create operational disruption and uncertainty and could adversely affect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periods, we have undertaken significant strategic actions that have changed our operating footprint, business mix, and leadership structure. These actions have included acquisitions, divestitures, discontinued operations, and operational wind-down activity, each of which has required management attention, integration and restructuring efforts, and operational adjustments.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In November 2024, we acquired Golden Organics and, through our Golden Organics operations, acquired substantially all of the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of LoCo in December 2024. Integration of acquired operations can involve challenges related to personnel, systems, logistics, vendor and customer relationships, controls, and operational processes, and may take longer or cost more than anticipated.</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Dispositions and discontinued operations. </w:t>
      </w:r>
      <w:r>
        <w:rPr>
          <w:rFonts w:ascii="Times New Roman" w:cs="Times New Roman" w:eastAsia="Times New Roman" w:hAnsi="Times New Roman"/>
          <w:sz w:val="18"/>
          <w:szCs w:val="18"/>
          <w:color w:val="auto"/>
        </w:rPr>
        <w:t>We have also exited or divested certain businesses and assets in recent periods, including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all assets related to marketing and selling certain artisan foods and related drop-ship fulfillment services including the website www.igourmet.com (which closed October 23, 2024), as well as other discontinued operations referenced in our SEC filings. In March 2026, we sold real property located at 220 Oak Hill Road, Mountaintop, Pennsylvania 18707, together with all rights, title, improvements, easements, and appurtenant interests, as well as certain personal property, contracts, and intangibles of Innovative Properties. These actions have required changes to personnel, systems, and processes and may continue to require management attention and operational resources.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Operational changes and facility actions. </w:t>
      </w:r>
      <w:r>
        <w:rPr>
          <w:rFonts w:ascii="Times New Roman" w:cs="Times New Roman" w:eastAsia="Times New Roman" w:hAnsi="Times New Roman"/>
          <w:sz w:val="18"/>
          <w:szCs w:val="18"/>
          <w:color w:val="auto"/>
        </w:rPr>
        <w:t>We have also undertaken operational changes, including facility-related actions and business wind-down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Such actions may require additional expenditures, increase operational complexity during transition periods, and create execution risk related to fulfillment, customer service, workforce management, and vendor coordination.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Leadership transition. </w:t>
      </w:r>
      <w:r>
        <w:rPr>
          <w:rFonts w:ascii="Times New Roman" w:cs="Times New Roman" w:eastAsia="Times New Roman" w:hAnsi="Times New Roman"/>
          <w:sz w:val="18"/>
          <w:szCs w:val="18"/>
          <w:color w:val="auto"/>
        </w:rPr>
        <w:t>In addition, we have experienced changes in senior leadership in recent periods, including a transition in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role in 2025. Leadership transitions can create execution risk, including disruption to strategic planning, operational decision-making, and internal controls, and may impair our ability to retain key personnel or maintain relationships with customers, suppliers, and other business partners. If we are unable to effectively manage leadership transitions, maintain continuity of operations, and sustain adequate management and financial oversight, our business, financial condition, results of operations, liquidity, and stock price could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Collectively, these acquisitions, dispositions, discontinued operations, operational changes, and leadership transition may create uncertainty among employees, customers, suppliers, and investors and may contribute to the perception that our business remains in transition. They may also divert management attention, increase costs, and disrupt operations. If we are unable to stabilize and execute our current operating model and strategy, or if we experience further unanticipated disruption, our business, financial condition, results of operations, liquidity, and stock price could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specialty food and foodservice industry is very competitive, which may result in decreased revenue for us as well as increased expenses associated with marketing our services and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specialty food and foodservice businesses are highly competitive. We compete against other providers of quality foods, some of which sell their services globally, and some of these providers have considerably greater resources than we have. These competitors may have greater marketing and sales capacity, established distribution networks, significant goodwill and global name recognition. Our e-commerce and product catalog websites and paper mailings compete with other e-commerce websites and other catalogs, and other specialty foodservice providers that market products similar to ours. We compete with national, regional and local businesses utilizing a similar strategy, as well as traditional specialty food and foodservice distributors. The substantial sales growth in the direct-to-customer industry within the last decade has encouraged the entry of many new competitors, new business models, and an increase in competition from established companies. Furthermore, it may become necessary for us to reduce our prices in response to competition. This could negatively impact our ability to be profitable.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upon outside vendors and shippers for our specialty food products and interruption in the supply of our products or their failure to adhere to our quality standards may negatively impact our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Shortages in supplies of the food products we sell may impair our ability to provide our services. Our vendors are independent and we cannot guarantee their ability to source the products that we sell. Many of our products are wild-caught, and we cannot guarantee their availability in the future. Unforeseen strikes and labor disputes as well as adverse weather conditions may result in our inability to deliver our products in a timely manner. Also, if our suppliers fail to supply quality product in a timely and effective manner it could lead to an increase in recalls and customer litigation against us which could harm our brands’ images and negatively affect our business and operating results. The success of our business depends, in part, on our ability to timely and effectively deliver merchandise (e.g. fresh products) to our customers. We cannot control all of the various factors that might affect our fulfilment rates in direct-to-customer sales. We are heavily dependent upon one national carrier for the delivery of our fresh products to our customers. Accordingly, we are subject to risks, including labor disputes, union organizing activity, inclement weather, technology breakdowns, natural disasters, the closure of their offices or a reduction in operational hours due to an economic slowdown or health related crisis, possible acts of terrorism, their ability to provide delivery services to meet our shipping needs, disruptions or increased fuel costs, and costs associated with any regulations to address climate change. Since our customers rely on us to deliver their orders typically within 24-72 hours, delivery delays could significantly harm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enhance our existing products and services or develop and introduce new products and services in response to changing market demand, our results of operations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Demand for specialty food products and services can change based on customer preferences, competition, pricing dynamics, supply availability, and broader economic conditions. Our ability to respond to these changes may depend on our ability to identify attractive offerings, source or develop them, and execute fulfillment and service requirements on a timely and cost-effective basis. We may be unable to develop, introduce, or market enhancements to our existing offerings or new offerings at all, or we may be unable to do so profitably due to constraints related to facilities, labor, systems, supplier capabilities, or logistics. </w:t>
      </w:r>
      <w:r>
        <w:rPr>
          <w:rFonts w:ascii="Times New Roman" w:cs="Times New Roman" w:eastAsia="Times New Roman" w:hAnsi="Times New Roman"/>
          <w:sz w:val="18"/>
          <w:szCs w:val="18"/>
          <w:i w:val="1"/>
          <w:iCs w:val="1"/>
          <w:color w:val="auto"/>
        </w:rPr>
        <w:t>For example, we may identify demand for certain value-added or processing-related offerings, but may be unable to scale 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offerings profitably within our existing operating footprint. </w:t>
      </w:r>
      <w:r>
        <w:rPr>
          <w:rFonts w:ascii="Times New Roman" w:cs="Times New Roman" w:eastAsia="Times New Roman" w:hAnsi="Times New Roman"/>
          <w:sz w:val="18"/>
          <w:szCs w:val="18"/>
          <w:color w:val="auto"/>
        </w:rPr>
        <w:t>If we fail to respond effectively to customer demand or competitive changes, we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reduced sales, margin pressure, loss of customers, or increased operating costs.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acquisitions we complete, and integrations of acquisitions we have completed, could result in difficulties in successfully managing our business and could harm our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completed acquisitions in recent periods, and we have experienced integration challenges from time to time, including difficulties aligning operating processes, systems, and controls; retaining personnel and customers of the acquired business; and devoting significant management attention and resources to integration and operational stabilization. We may not realize expected operational or commercial benefits, including anticipated synergies, cross-selling opportunities, or channel expansion initiatives, and integration efforts may take longer or cost more than expected. In addition, service disruptions or performance issues during integration periods may harm our reputation and customer relationships. Similar challenges could occur in connection with any future acquisitions or continued integration of recent acquisitions, which could adversely affect our results of operations, liquidity,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establish and maintain effective internal controls in accordance with Section 404 of the Sarbanes-Oxley Act could have a material adverse effect on our business and stock price.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requires management to certify financial and other information in our quarterly and annual reports and provide an annual management report on the effectiveness of controls over financial reporting. Our independent registered public accounting firm is not required to attest to the effectiveness of our internal control over financial reporting until the later of the year following our first annual report required to be filed with the SEC or the date we are no longer an emerging growth company and are an accelerated or large accelerated filer.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undertake various actions, such as implementing new internal controls and procedures and hiring additional accounting or internal audit staff. In addition, we may identify material weaknesses in our internal control over financial reporting that we may not be able to remediate in time to meet the applicable deadline imposed upon us for compliance with the requirements of Section 404.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identify weaknesses in our internal control over financial reporting, are unable to comply with the requirements of Section 404 in a timely manner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and we could become subject to investigations by Nasdaq on which our securities are listed, the SEC or other regulatory authorities, which could require additional financial and management resources.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have identified material weakness existing in the Company’s internal control over financial reporting related to information technology general controls over certain applications that support the Company’s financial reporting processes. We are working to remediate the material weaknesses as further discussed in Item 9A of this Amended 2024 Annual Report. If we cannot successfully remediate identified control deficiencies, including any current or future material weaknesses in our internal control over financial reporting; the accuracy and timing of our financial reporting may be adversely affected; our liquidity, access to capital markets and perceptions of our creditworthiness may be adversely affected; we could face difficulty forecasting our financial results accurately, impacting decision-making by investors and analysts;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and our common stock price may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effectively manage our IT dependent business our reputation and operating results may be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depends on internal technology systems and third-party platforms that support core operations, including order management, inventory and warehouse processes, logistics coordination, product and pricing data management, and integrations with customers, vendors, and other partners, and we may have limited control over required technology interfaces. These systems are subject to limitations, errors, failures, downtime, and integration disruptions (which we have experienced from time to time), as well as cybersecurity incidents and evolving privacy and data protection requirements. Any of these events could disrupt operations, increase costs, and harm customer or vendor relationships and our reputation.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exposed to risks and costs associated with credit card fraud and identity theft that could cause us to incur unexpected expenses and loss of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increasing portion of our customer orders are placed through our e-commerce websites and a significant portion of our orders are submitted via networked applications. In addition, a significant portion of sales made through our retail channel require the collection of certain customer data, such as credit card information. In order for our sales channels to function and develop successfully, we and other parties involved in processing customer transactions must be able to transmit confidential information, including credit card information, securely over public networks. Third parties may have the technology or knowledge to breach the security of customer transaction data. Although we take the security of our systems and the privacy of our customers’ confidential information extremely seriously, we cannot guarantee that our security measures will effectively prevent others from obtaining unauthorized access to our information and our customers’ information. Any person who circumvents our security measures could destroy or steal valuable information or disrupt our operations. Any security breach could cause consumers to lose confidence in the security of our websites and choose not to purchase from us. Any security breach could also expose us to risks of data loss, litigation and liability and could seriously disrupt our operations and harm our reputation, any of which could harm our business.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states and the federal government are increasingly enacting laws and regulations to protect consumers against identity theft. Compliance with these laws will likely increase the costs of doing business and, if we fail to implement appropriate safeguards or to detect and provide prompt notice of unauthorized access as required by some of these new laws, we could be subject to potential claims for damages and other remedies, which could harm our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Earthquakes, inclement weather or other events out of our control may damage or limit production from our facilities and our ability to timely deliver products thereby adversely affecting our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operations in Colorado, Illinois, and in other areas where weather or other events such as an earthquake, tsunami, hurricane, flood, fire, high winds, extreme heat or cold, or other natural or manmade events, could disrupt our operations and impair production or distribution of our products, damage inventory, interrupt critical functions, or otherwise affect our business negatively, adversely affecting our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Declines in general economic conditions and the resulting impact on consumer confidence and consumer spending could adversely impact our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performance is subject to declines in general economic conditions and the impact of such economic conditions on levels of consumer confidence and consumer spending. Consumer confidence and consumer spending may deteriorate significantly and could remain depressed for an extended period of time, whether due to pandemic, inflation, bank failure, or other unrelated reasons. Consumer purchases of discretionary items, including specifically our merchandise, generally decline during periods when disposable income is limited, unemployment rates increase, and consumer perceptions of personal well-being and security declines or there is economic uncertainty. An uncertain economic environment could adversely impact our business and operating results.</w:t>
      </w:r>
    </w:p>
    <w:p>
      <w:pPr>
        <w:sectPr>
          <w:pgSz w:w="11900" w:h="16838" w:orient="portrait"/>
          <w:cols w:equalWidth="0" w:num="1">
            <w:col w:w="11240"/>
          </w:cols>
          <w:pgMar w:left="320" w:top="229" w:right="339" w:bottom="32"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legal proceedings that could be time consuming, result in costly litigation, require significant amounts of management time and result in the diversion of significant operational resources.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in lawsuits, claims and proceedings incident to the ordinary course of our business. Litigation is inherently unpredictable. Any claims against us, whether meritorious or not, could be time consuming, result in costly arbitration or litigation, require significant amounts of management time and result in the diversion of significant operational resources. Even if we believe that we have meritorious defenses against these actions, and we resolve to vigorously defend against them, the cost of defending against all these types of claims against us or the ultimate resolution of such claims, whether by settlement or adverse court decision, may harm our business and operating results and may be in excess of any amounts previously reserved for legal expenses. In addition, the increasingly regulated business environment and the nature of our products may result in a greater number of enforcement actions and private litigation. This could subject us to increased exposure to stockholder lawsuits. Also, we (and our affiliates) may be subject to attempts to bring legal claims by creditors and other third parties related to the liabilities or potential liabilities, of our former subsidiaries, or of the liabilities related to any company whose assets we acquired or do business with.</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we cannot be certain if the reduced reporting requirements applicable to smaller reporting companies will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Act of 1933, as amended (the “Securities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reduced disclosure obligations regarding historical financial statements, executive compensation in our periodic reports, registration statements,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remain a smaller reporting company until the beginning of a year in which we had a public float of $250 million held by non-affiliates or revenues below $100 million and a public float below $700 million, in each case as determined as of the last business day of the second quarter of the Company’s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trademarks, trade secrets, and other forms of intellectual property protections, however, these protections may not be adequate.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trademark, trade secret and other intellectual property laws in the United States. We have applied in the United States and in certain countries for registration of a limited number of trademarks, some of which have been registered or issued. We cannot guarantee that our applications will be approved by the applicable governmental authorities, or that third parties will not seek to oppose or otherwise challenge our registrations or applications. We also rely on unregistered proprietary rights, including common law trademark protection. However, third parties may use trademarks identical or confusingly similar to ours, or independently develop trade secrets or know-how similar or equivalent to ours. If our proprietary information is divulged to third parties, including our competitors, or our intellectual property rights are otherwise misappropriated or infringed, our competitive position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governmental regulation, which could impact our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extensive federal and state regulations governing the delivery of fresh food products. Various laws and regulatory frameworks, including but not limited to the FDA’s Food Safety Modernization Act, Pennsylvania’s Solid Waste Management Act, Clean Streams Law, Air Pollution Control Act, Pennsylvania Food Code, FDA’s Fair Packaging and Labeling Act, Nutrition Labeling and Education Act, PA Food Safety Act, and Pennsylvania’s Weights and Measures Act, impose stringent operational, food safety, packaging, and labeling requirements on our company and third-party vendors.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specialty foodservice vendors are required to maintain a minimum of $3,000,000 in liability insurance coverage and comply with Hazard Analysis and Critical Control Point (HACCP) standards. Compliance with these regulations is critical to our operations, as noncompliance could result in significant penalties, legal liabilities, operational disruptions, and reputational harm.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maintain compliance with applicable laws and regulations, we cannot guarantee that we will continue to be in compliance in the future, particularly as regulations evolve or become more stringent. Regulatory changes or increased enforcement efforts could impose additional costs, limit our ability to operate efficiently, or require modifications to our business practices. Any failure to comply with existing or future regulatory requirements could adversely affect our net revenues, gross margins, and cash flows. Any regulatory actions or changes that increase our compliance costs or restrict our ability to source, distribute, or label products effectively may materially impact our financial condition and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availability of our bank loans could adversely impact our business and financial condition.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have a loan with MapleMark Bank subject to negative covenants which, during the life of the loans, prohibit and/or limit us from, among other things, incurring certain types of other debt, acquiring other companies, making certain expenditures or investments, and changing the character of our business. Any material change to the business and economic landscape negatively impacting our business, including among other things, an outbreak of infectious disease, a pandemic or a similar public health threat, such as the COVID-19 outbreak, or bank failures, inflation, recession, or other significant economic turmoil, could adversely impact our ability to comply with such covenants. Our failure to comply with such covenants or any other breach of the loan documents could cause a default and we may then be required to repay all of such borrowings with capital from other sources. Under these circumstances, other sources of capital may not be available or may be available only on unfavorable terms. In the event of a default, it is possible that our assets and certain of our subsidiaries’ assets may be attached or seized by the lenders. Any (i) failure by us to comply with the covenants or other provisions of the loan documents, (ii) difficulty in securing any required future financing, or (iii) any such seizure or attachment of assets could have a material adverse effect on our business and financial condition. This has not occurred in the past.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subsequent to year end, the Company repaid the MapleMark Bank loan in full on March 6, 2026 and, as a result, the negative covenants and related restrictions under that facility are no longer applicable. However, the Company may in the future enter into other financing arrangements that contain similar covenants and restrictions.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generate sufficient cash to service our indebtedness depends on many factors, some of which are not within our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make payments on our indebtedness will depend on our ability to generate cash in the future. To a certain extent, this ability is subject to general economic, financial, competitive, legislative, regulatory, and other factors that are beyond our control. If we are unable to generate sufficient cash flow to service our debt, we may need to restructure or refinance all or a portion of our debt, sell material assets or operations, or raise additional debt or equity capital. We may not be able to affect any of these actions on a timely basis, on commercially reasonable terms, or at all, and these actions may not be sufficient to meet our debt service requirements. In addition, any refinancing of our indebtedness could be at a higher interest rate, and the terms of our existing or future debt arrangements may restrict us from effecting any of these alternatives. Our failure to make the required interest and principal payments on our indebtedness would result in an event of default under the agreement governing such indebtedness, which may result in the acceleration of some or all of our outstanding indebtedness.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Despite our level of indebtedness, we and our subsidiaries will still be able to incur significant additional amounts of debt, which could further exacerbate the risks associated with our level of indebtedness.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subsidiaries may incur substantial additional indebtedness in the future. Although the agreements governing our indebtedness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agreements governing our outstanding indebtedness contain restrictions that limit our flexibility in operating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our outstanding indebtedness contain various covenants that limit our ability to engage in specified types of transactions. These covenants limit the ability of our subsidiaries to, among other things: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loans;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make payments, or redeem or repurchase capital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liquidations, dissolutions, asset sales, and other dispositions (including sale leaseback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terms of certain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limiting subsidiary distributions or containing negative pledge clauses;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fiscal year;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activities other than permitted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are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one or more of these agreements, including as a result of cross default provisions, and acceleration of amounts due, and exercise of lender’s rights and remedies, including rights with respect to the collateral securing the obligations.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Relating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Since we do not intend to pay any cash dividends on our shares of common stock, our stockholders will not be able to receive a return on their shares unless they sell them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retain any future earnings to finance the development and expansion of our business. We do not anticipate paying any cash dividends on our common stock in the foreseeable future. Unless we pay dividends, our stockholders will not be able to receive a return on their shares unless they sell them at a price higher than that which they initially paid for such shares.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common stock is subject to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rules of the Securities and Exchange Commission (the “SEC”) and the trading market in our securities is limited, which makes transactions in our stock cumbersome and may reduce the value of an investment in our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has adopted Rule 15g-9 which establishes the definition of a “penny stock,” for the purposes relevant to us, as any equity security that has a market price of less than $5.00 per share or with an exercise price, for warrants or options or conversion price for convertible notes, of less than $5.00 per share, subject to certain exceptions. For any transaction involving a penny stock, unless exempt, the rules require:</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broker or dealer approve a person’s account for transactions in penny stocks;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broker or dealer receives from the investor a written agreement to the transaction, setting forth the identity and quantity of the penny stock to be purchased.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approve a person’s account for transactions in penny stocks, the broker or dealer must:</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financial information and investment experience objectives of the person;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prescribed by the SEC relating to the penny stock market, which, in highlight form:</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the basis on which the broker or dealer made the suitability determination,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will likely continue to be volatile, and you could lose all or part of your investment.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various factors, some of which are beyond our control and may not be related to our operating performance. In addition to the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elsewhere in this Annual Report on Form 10-K, factors that could cause fluctuations in the market price of our common stock include the following:</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and related measures to protect the public health;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of our common stock, whether in connection with an acquisition or disposition of our subsidiaries or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or related derivative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make investments in equity that is, or may become, publicly held, and we may experience volatility due to changes in the market prices of such equity investments;</w:t>
      </w: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by securities or industry analysts, media or other third parties, that are interpreted either negatively or positively by investors, failure of securities analysts to maintain coverage and/or to provide accurate consensus results of us, changes in financial estimates by securities analysts who follow us, or our failure to meet these estimates or the expectations of investors;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other projections we may provide to the public, any changes in those projections, or our failure to meet those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security incidents that we or our service providers may suffer;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dispositions, and discontinuance of business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Such litigation could result in substantial costs and a diversion of our management’s attention and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risks include theft of business data, fraud or extortion, lack of access to our information systems, harm to employees, harm to business partners, violation of privacy laws, potential reputational damage, and litigation or other legal risk if a cybersecurity incident were to occur. It is difficult to assign a monetary materiality assessment to these risks or to the impact if we were to sustain a breach of our systems. Our approach is based on the premise that any cybersecurity incident could result in material harm to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Information Technology Associates (“ITA”), an outsourced IT provider which has been designated with oversight responsibility for our cybersecurity risks. ITA possesses a deep understanding of our information technology systems, including methods to manage and monitor cybersecurity risks. It also provides active monitoring and risk assessments of cybersecurity threats and communicates such threats to our Company. Low risk threats are communicated to our systems analysts, and high risk threats are first communicated to Gary Schubert, our Chief Executive Officer, and are then discussed with our Board.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annual assessments of risks posed by cybersecurity threats in conjunction with our insurance renewal cycles. This includes a thorough review of our systems and vulnerabilities. As a result of these assessments, we have implemented tools and practices to proactively monitor our systems and user accounts including, but not limited to, deploying solutions to constantly monitor users accessing systems, implementation of two factor authentication for logins, and improved rules for password maintenance. Additionally, we require our associates to complete cybersecurity awareness training provided by NINJIO.</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many companies, we make use of cloud-based solutions provided by several large service providers for critical information technology infrastructure such as email and file storage. We do not maintain stand-alone servers for our emails. However, we do maintain a standalone server for our main enterprise resource planning (ERP) program (Great Plains), and we maintain two servers dedicated to processing orders for Artisan Specialty Foods and Food Innovations, Inc. We also maintain a file server that currently houses approximately one terabyte of data. Each of our servers is protected by firewall and two-factor-authentication. Additionally, we take multiple snapshots of our servers several times throughout the day and store encrypted backups of our data both locally and in a cloud server to mitigate loss in the event of any malicious attacks on these resources. In the normal course of our relationships with the providers of our services not controlled in-house, we regularly monitor their message boards and other formal and informal communications channels for signs of breaches of their systems. We also survey available public information for indications that they have suffered a breach of their systems.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meet our current needs. We will need additional office space or facilities in the future as we continue to build our development, commercial and support teams. We believe we can find suitable additional space in the future on commercially reasonable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properties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 of the Term</w:t>
            </w:r>
          </w:p>
        </w:tc>
        <w:tc>
          <w:tcPr>
            <w:tcW w:w="120" w:type="dxa"/>
            <w:vAlign w:val="bottom"/>
          </w:tcPr>
          <w:p>
            <w:pPr>
              <w:spacing w:after="0"/>
              <w:rPr>
                <w:sz w:val="20"/>
                <w:szCs w:val="20"/>
                <w:color w:val="auto"/>
              </w:rPr>
            </w:pPr>
          </w:p>
        </w:tc>
        <w:tc>
          <w:tcPr>
            <w:tcW w:w="28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Own/Lease</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Square Feet</w:t>
            </w:r>
          </w:p>
        </w:tc>
      </w:tr>
      <w:tr>
        <w:trPr>
          <w:trHeight w:val="191"/>
        </w:trPr>
        <w:tc>
          <w:tcPr>
            <w:tcW w:w="38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Mountain Top, PA</w:t>
            </w:r>
          </w:p>
        </w:tc>
        <w:tc>
          <w:tcPr>
            <w:tcW w:w="1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for sale) (a)</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Office/Warehouse</w:t>
            </w:r>
          </w:p>
        </w:tc>
        <w:tc>
          <w:tcPr>
            <w:tcW w:w="1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Own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Broadview, IL</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Office/Warehouse</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Own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28,711</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Denver, CO</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31, 2027</w:t>
            </w: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Office/Warehouse</w:t>
            </w:r>
          </w:p>
        </w:tc>
        <w:tc>
          <w:tcPr>
            <w:tcW w:w="1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This property is encumbered under the terms of the Maple Mark Term Loan 3 and was sold on March 6,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knowledge of our management team, except as set forth below, there is no material litigation, arbitration or governmental proceeding currently pending against us or any members of our management team in their capacity as such.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Prices for our common stock are quoted on the OTCQB. Since March 2004, our common stock has traded under the symbol “IVFH”. Prior thereto, our common stock traded under the symbol “FBSN.” At March 12, 2026, there were 54,649,479 shares of our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12, 2026, there were approximately 63 record holders of our common stock. In addition, we believe there are at least several hundred additional beneficial owners of our common stock whose shares are held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paid dividends during the three most recently completed fiscal years and have no current plans to pay dividends on our common stock. We currently intend to retain all earnings, if any, for use in our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Recent Sales and Other Issuances of Our Equity Securities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our issuance of stock during the periods indicated.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1, 2025 to Mar. 31, 2025 (1)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 1, 2025 to Jun. 30, 2025 (2)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365,204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1, 2025 to Sep. 30, 2025 (3)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 1, 2025 to Dec. 31, 2025 (4)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214,530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issued to executive officers pursuant to executive compensation plans: 530,665 shares were issued to the predecessor CEO; 133,632 shares were issued to the COO; and 73,735 shares were issued to the successor CEO under the Prior CFO stock plan. Also includes cash conversion of options to purchase 310,000 shares of common stock for a net amount issued of 84,026 shares. These shares were classified as shares to be issued on the Company’s balance sheet at December 31, 2024.</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issued to executive officers pursuant to stock compensation plans: 273,036 shares were issued to the predecessor CEO; and 92,168 shares were issued to the successor CEO under the Prior CFO stock plan.</w:t>
      </w: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issued to the COO pursuant to a stock compensation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issued to the predecessor CEO pursuant to a stock compensation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issuances described above were exempt from registration pursuant to Section 4(2) of the Securities Act for the following reasons: (i) none of the issuances involved a public offering or public advertising for the payment of any commissions or fees; (ii) the issuances to investors were to “accredited investors”; and (iii) all issuances to affiliates and to non-affiliates holding the securities for less than six months carried restrictive legends.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following shares were issuable pursuant to outstanding stock options, warrants, and rights issued under the 2011 Stock Option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00" w:type="dxa"/>
            <w:vAlign w:val="bottom"/>
          </w:tcPr>
          <w:p>
            <w:pPr>
              <w:spacing w:after="0"/>
              <w:rPr>
                <w:sz w:val="18"/>
                <w:szCs w:val="18"/>
                <w:color w:val="auto"/>
              </w:rPr>
            </w:pP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280" w:type="dxa"/>
            <w:vAlign w:val="bottom"/>
          </w:tcPr>
          <w:p>
            <w:pPr>
              <w:spacing w:after="0"/>
              <w:rPr>
                <w:sz w:val="18"/>
                <w:szCs w:val="18"/>
                <w:color w:val="auto"/>
              </w:rPr>
            </w:pPr>
          </w:p>
        </w:tc>
        <w:tc>
          <w:tcPr>
            <w:tcW w:w="430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4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plans</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9"/>
        </w:trPr>
        <w:tc>
          <w:tcPr>
            <w:tcW w:w="7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97,872,500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[Reserved]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as amended (the “Exchange Act”), and Rule 3(a)(51-1) under the Exchange Act) during the three year period preceding the date(s) on which those forward looking statements were first made, except to the extent otherwise specifically provided by rule, regulation or order of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one major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bank failures, and environmental weather conditions.</w:t>
      </w:r>
    </w:p>
    <w:p>
      <w:pPr>
        <w:sectPr>
          <w:pgSz w:w="11900" w:h="16838" w:orient="portrait"/>
          <w:cols w:equalWidth="0" w:num="1">
            <w:col w:w="11240"/>
          </w:cols>
          <w:pgMar w:left="320" w:top="22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30, 2024, Innovative Gourmet, which is a wholly-owned subsidiary of the Company, and iGourmet, entered into an amended and restated asset purchase agreement (the “Amended and Restates APA”). Pursuant to the Amended and Restates APA, Innovative Gourmet sold to iGourmet substantially all of its assets related to marketing and selling certain artisan foods and related drop-ship fulfillment services including the website www. igourmet.com (the “Purchased Assets”), for total consideration of $700,000. This transaction was closed on October 23, 2024. In connection with the closing of the transaction, Innovative Gourmet and iGourmet entered into a Transition Services Agreement, dated August 30, 2024, pursuant to which Innovative Gourmet provided certain inventory and fulfilment services related to the Purchased Assets for a period of thirty days after closing pursuant to that certain Transition Services Agreement, dated August 30, 2024, with iGourmet. We exited this business during the year ended December 31, 2024.</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2024, the Company entered into the Golden APA with Golden Organics, and David Rickard. Pursuant to the Golden APA, the Company (i) purchased substantially all of the properties, business, and assets of Golden Organics used and/or useful in the operation of the Golden Organics’ business of wholesaling bulk organic ingredients and other related food products and (ii) assume certain liabilities and obligations of Golden Organics (such transaction, the “Golden Transaction”) for an aggregate purchase price of $1,580,000, which consists of (a) a cash payment of $1,230,000 after taking into account certain working capital adjustments at the closing of the Golden Transaction and (b) a Seller Financing Note of $350,000, payable to Golden Organics, with interest at six percent (6%) per annum for a term of sixty (60) months payable in equal monthly installments with the first payment due one month after the closing. The Seller Financing Note Need contains default, notice and acceleration provisions, including a default interest at twelve percent (12%), a five (5) day grace period, a five percent (5%) late fee, no prepayment penalty and a right of set-off. Under the Golden APA, David Rickard has agreed to provide assistance to the Company for a period of ninety (90) days following the closing with respect to the transitioning of the business and developing new business opportunities without any compensation. The Golden Transaction closed on November 18, 2024.</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20, 2024, the Company through its subsidiary, Golden Organics, acquired substantially all of LoCo’s properties, business, and assets used and/or useful in the operation of LoCo’s business of sourcing and wholesaling food products, and agreed to assume certain liabilities of LoCo for an aggregate purchase price of $304,269, which is payable to LoCo’s lenders for all outstanding and unpaid indebtedness of LoCo, pursuant to the LoCo APA, with LoCo, Elizabeth G. Mozer and Benjamin Mozer. In connection with the LoCo APA, Ms. Mozer entered into a consulting services agreement with Golden Organics to provide consulting services for a period of twelve (12) months with the option to extend on a month-to-month basis with respect to the transitioning of the relationships and knowledge concerning the LoCo’s business, which agreement also contains a two-year non-solicitation provision.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subsidiary, Innovative Properties, entered into an Agreement of Purchase and Sale dated July 28, 2025, as amended on September 11, 2025, September 29, 2025, and November 13, 2025, with Mountaintop Holdings. Pursuant to the agreement, Innovative Properties agreed to sell to Mountaintop Holdings certain real property located at 220 Oak Hill Road, Mountaintop, Pennsylvania 18707, together with all rights, title, improvements, easements, and appurtenant interests, which is improved with warehouse facilities, as well as certain personal property, contracts, and intangibles of Innovative Properties. The sale closed on March 6, 2026, at which time Innovative Properties received gross proceeds of $9.225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2025 represented a transitional year for IVFH as the Company shifted its focus toward strengthening its internal operating foundation to support sustainable growth. During the year, management prioritized improvements to core business processes, operational discipline, and supporting software and systems, with the objective of creating greater consistency, visibility, and scalability across the organization. These efforts included initiatives to better align procurement, forecasting, and order management processes, enhance operational workflows across distribution channels, and reinforce the Company’s core operating platform.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this effort, the Company also took steps to streamline its operating footprint and improve overall efficiency. This included the planned exit and subsequent sale of the Pennsylvania facility, which was completed in the first quarter of 2026, and the transition of certain related activities into existing operating locations. These actions were intended to simplify the operating structure, reduce complexity, and allow management to focus resources on core distribution and digital channel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2025, IVFH reported revenue of $60.7 million, a 2.1% increase compared to $59.5 million in 2024. Revenue Breakdown:</w:t>
      </w:r>
    </w:p>
    <w:p>
      <w:pPr>
        <w:spacing w:after="0" w:line="158" w:lineRule="exact"/>
        <w:rPr>
          <w:sz w:val="20"/>
          <w:szCs w:val="20"/>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Channels: </w:t>
      </w:r>
      <w:r>
        <w:rPr>
          <w:rFonts w:ascii="Times New Roman" w:cs="Times New Roman" w:eastAsia="Times New Roman" w:hAnsi="Times New Roman"/>
          <w:sz w:val="18"/>
          <w:szCs w:val="18"/>
          <w:color w:val="auto"/>
        </w:rPr>
        <w:t>Largely made up of our distributor relationships and supported by our drop ship model. This category contributed $32.5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which is 54% of our total revenue from continuing operations. This represents a decrease of 7.2% from $35 million in 2024, primarily due to continued headwinds in our legacy drop ship business.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National Distribution: </w:t>
      </w:r>
      <w:r>
        <w:rPr>
          <w:rFonts w:ascii="Times New Roman" w:cs="Times New Roman" w:eastAsia="Times New Roman" w:hAnsi="Times New Roman"/>
          <w:sz w:val="18"/>
          <w:szCs w:val="18"/>
          <w:color w:val="auto"/>
        </w:rPr>
        <w:t>Captures our partnerships with airline caterers. This category generated $12.9 million, or 21% of total revenue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operations, marking a 4.8% increase from $12.3 million in 2024. These sales are generally delivered to the customer through 3PL carriers or FedEx.</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Local Distribution: </w:t>
      </w:r>
      <w:r>
        <w:rPr>
          <w:rFonts w:ascii="Times New Roman" w:cs="Times New Roman" w:eastAsia="Times New Roman" w:hAnsi="Times New Roman"/>
          <w:sz w:val="18"/>
          <w:szCs w:val="18"/>
          <w:color w:val="auto"/>
        </w:rPr>
        <w:t>Consists mainly of local sales team relationships and our local fleet delivering direct from warehouse. This category brought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$15.3 million, or 25% of total revenue from continuing operations, an increase of 26% from $12.1 million in 2024, supported by the expansion of local distribution channels and the acquisition of LoCo Foods.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goods sold for the year was $45.0 million, compared to $44.4 million in 2024, an increase of 1.4%. Gross margin increased 49 basis points to 25.8%, primarily due to changes in revenue mix, including shifts in the relative sales volume by distributor within the drop ship channel.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Operating Expenses (Cash OpEx):</w:t>
      </w:r>
    </w:p>
    <w:p>
      <w:pPr>
        <w:spacing w:after="0" w:line="229" w:lineRule="exact"/>
        <w:rPr>
          <w:sz w:val="20"/>
          <w:szCs w:val="20"/>
          <w:color w:val="auto"/>
        </w:rPr>
      </w:pPr>
    </w:p>
    <w:p>
      <w:pPr>
        <w:jc w:val="both"/>
        <w:ind w:left="660" w:hanging="328"/>
        <w:spacing w:after="0" w:line="312"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Related Costs: Increased by $0.8 million to $9.4 million, primarily due to a $1.2 million increase related to the Denver warehouse acquired in late 2024, partially offset by a $0.4 million decrease in variable compensation and a $0.04 million decrease from headcount reductions.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and IT Costs: Increased by $69 thousand to $461 thousand, reflecting the Company’s efforts to build out the harvest platform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Facilities, and Vehicles Costs: Increased by $770 thousand to $1.4 million, driven by the newly acquired facility in Denver ($435K) and increased fleet cost of $170 thousand in the Chicago business.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Digital Marketing Costs: Increased by $27 thousand to $31 thousand, primarily resulting from our Harvest platform and fees associated with web design and platform fees.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Legal Fees: Decreased by $109 thousand to $1.4 million, due to various legal and transactional activities related to acquisitions, divestitures, and other corporate actions.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Cash OpEx increased by $1.4 million, primarily related to $2.0 million in operating expenses associated with the acquisition of the Denver business, offset by the items noted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Operating Expenses (Non-Cash OpEx):</w:t>
      </w:r>
    </w:p>
    <w:p>
      <w:pPr>
        <w:spacing w:after="0" w:line="2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Decreased by $2.5 million to $(933) thousand, due to revaluation of stock appreciation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Costs: Increased by $139 thousand to $254 thousand, based on increased PPE assets associated with Denver acquisitions.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Expense: Increased by $101 thousand to $106 thousand, primarily due to write offs within our local restaurant business and associated bankruptcies of certain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Non-Cash OpEx Reduction: The total Non-Cash OpEx decreased by $2.2 million, primarily due to the revaluation of stock appreciation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Expenses:</w:t>
      </w:r>
    </w:p>
    <w:p>
      <w:pPr>
        <w:spacing w:after="0" w:line="22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 thousand in separation costs in 2025, compared to $40 thousand in separation costs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 $81 thousand in 2025, compared to $0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continuing operations declined by 39.1% to $2.5 million, compared to $4.2 million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IVFH had current assets of $16.8 million, including cash and cash equivalents of $0.9 million, and current liabilities of $12.4 million. The Company had net working capital of $4.4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color w:val="auto"/>
        </w:rPr>
        <w:t>: Used $27 thousand, primarily due to the Company’s net loss. Changes in the Company’s working capital components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contributed $630 thousand of working capital. The significant changes in working capital included:</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by $3.3 million, reflecting shut down of the retail cheese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Decreased by $1.3 million, primarily due to retail cheese business shut down.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Accrued Liabilities: Decreased by $3.5 million, mainly due to cheese business shut down and the lower annual incentive plan payout recorded in 2024 but paid in 2025, and the elimination of accrued liabilities related to the divestiture of eCommerce operations.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liability: Decreased by $246 thousand due to lease payments made during the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separation cost – related parties: Decreased by $283 thousand due to periodic payments made.</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Investing Activities</w:t>
      </w:r>
      <w:r>
        <w:rPr>
          <w:rFonts w:ascii="Times New Roman" w:cs="Times New Roman" w:eastAsia="Times New Roman" w:hAnsi="Times New Roman"/>
          <w:sz w:val="18"/>
          <w:szCs w:val="18"/>
          <w:color w:val="auto"/>
        </w:rPr>
        <w:t>: Used $187 thousand due to the acquisition and disposition of property and equipment.</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 of Assets: $54 thousand from the sale of warehouse equipment.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Property and Equipment: $242 thousand.</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Financing Activities</w:t>
      </w:r>
      <w:r>
        <w:rPr>
          <w:rFonts w:ascii="Times New Roman" w:cs="Times New Roman" w:eastAsia="Times New Roman" w:hAnsi="Times New Roman"/>
          <w:sz w:val="18"/>
          <w:szCs w:val="18"/>
          <w:color w:val="auto"/>
        </w:rPr>
        <w:t>: Used $645 thousand. Key financing activities included:</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on debt: $180 thousand.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taxes related to net share settlement of equity awards: $276 thousand.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on Financing Leases: $189 thousand.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Needs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IVFH anticipates significant capital expenditures in the coming years to support its growth initiatives and operational improvements. Key areas of investment include:</w:t>
      </w:r>
    </w:p>
    <w:p>
      <w:pPr>
        <w:spacing w:after="0" w:line="158" w:lineRule="exact"/>
        <w:rPr>
          <w:sz w:val="20"/>
          <w:szCs w:val="20"/>
          <w:color w:val="auto"/>
        </w:rPr>
      </w:pPr>
    </w:p>
    <w:p>
      <w:pPr>
        <w:ind w:left="66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Expansion of Distribution Facilities</w:t>
      </w:r>
      <w:r>
        <w:rPr>
          <w:rFonts w:ascii="Times New Roman" w:cs="Times New Roman" w:eastAsia="Times New Roman" w:hAnsi="Times New Roman"/>
          <w:sz w:val="18"/>
          <w:szCs w:val="18"/>
          <w:color w:val="auto"/>
        </w:rPr>
        <w:t>: Upgrading and expanding warehouse and distribution facilities to accommodate increased demand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 operational efficiency.</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Technology Investments</w:t>
      </w:r>
      <w:r>
        <w:rPr>
          <w:rFonts w:ascii="Times New Roman" w:cs="Times New Roman" w:eastAsia="Times New Roman" w:hAnsi="Times New Roman"/>
          <w:sz w:val="18"/>
          <w:szCs w:val="18"/>
          <w:color w:val="auto"/>
        </w:rPr>
        <w:t>: Enhancing the company’s digital platforms and IT infrastructure to support e-commerce growth and improve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Development</w:t>
      </w:r>
      <w:r>
        <w:rPr>
          <w:rFonts w:ascii="Times New Roman" w:cs="Times New Roman" w:eastAsia="Times New Roman" w:hAnsi="Times New Roman"/>
          <w:sz w:val="18"/>
          <w:szCs w:val="18"/>
          <w:color w:val="auto"/>
        </w:rPr>
        <w:t>: Investing in new product lines and innovations to meet changing customer preferences and expand market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plans to finance these capital needs through a combination of internal cash flows, debt financing, and potential equity offerings. IVFH is committed to maintaining a strong balance sheet and ensuring sufficient liquidity to support its strategic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Management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IVFH employs several cash management strategies to ensure adequate liquidity and optimize financial performance:</w:t>
      </w:r>
    </w:p>
    <w:p>
      <w:pPr>
        <w:spacing w:after="0" w:line="22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Flow Forecasting</w:t>
      </w:r>
      <w:r>
        <w:rPr>
          <w:rFonts w:ascii="Times New Roman" w:cs="Times New Roman" w:eastAsia="Times New Roman" w:hAnsi="Times New Roman"/>
          <w:sz w:val="18"/>
          <w:szCs w:val="18"/>
          <w:color w:val="auto"/>
        </w:rPr>
        <w:t>: Regularly updating cash flow projections to anticipate and manage cash needs effectively.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Working Capital Management</w:t>
      </w:r>
      <w:r>
        <w:rPr>
          <w:rFonts w:ascii="Times New Roman" w:cs="Times New Roman" w:eastAsia="Times New Roman" w:hAnsi="Times New Roman"/>
          <w:sz w:val="18"/>
          <w:szCs w:val="18"/>
          <w:color w:val="auto"/>
        </w:rPr>
        <w:t>: Implementing strategies to optimize inventory levels, manage accounts receivable, and extend payment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suppliers.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Maintaining access to credit lines and other financing options to provide flexibility in managing short-term cash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of Excess Cash</w:t>
      </w:r>
      <w:r>
        <w:rPr>
          <w:rFonts w:ascii="Times New Roman" w:cs="Times New Roman" w:eastAsia="Times New Roman" w:hAnsi="Times New Roman"/>
          <w:sz w:val="18"/>
          <w:szCs w:val="18"/>
          <w:color w:val="auto"/>
        </w:rPr>
        <w:t>: Investing surplus cash in short-term, low-risk instruments to generate returns while preserving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5" w:lineRule="exact"/>
        <w:rPr>
          <w:sz w:val="20"/>
          <w:szCs w:val="20"/>
          <w:color w:val="auto"/>
        </w:rPr>
      </w:pPr>
    </w:p>
    <w:p>
      <w:pPr>
        <w:jc w:val="both"/>
        <w:ind w:left="660" w:right="20" w:hanging="328"/>
        <w:spacing w:after="0" w:line="26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Opportunities</w:t>
      </w:r>
      <w:r>
        <w:rPr>
          <w:rFonts w:ascii="Times New Roman" w:cs="Times New Roman" w:eastAsia="Times New Roman" w:hAnsi="Times New Roman"/>
          <w:sz w:val="18"/>
          <w:szCs w:val="18"/>
          <w:color w:val="auto"/>
        </w:rPr>
        <w:t>: IVFH aims to continue its growth trajectory by focusing on stabilizing the business, growing the direct-to-chef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foodservice platform, diversifying the drop ship business, and expanding the specialty food distribution business. The company is well-positioned to capitalize on growth opportunities in the specialty foodservice market.</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Initiatives</w:t>
      </w:r>
      <w:r>
        <w:rPr>
          <w:rFonts w:ascii="Times New Roman" w:cs="Times New Roman" w:eastAsia="Times New Roman" w:hAnsi="Times New Roman"/>
          <w:sz w:val="18"/>
          <w:szCs w:val="18"/>
          <w:color w:val="auto"/>
        </w:rPr>
        <w:t>: The Company plans to invest in digital transformation, enhance its e-commerce capabilities, and expand its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These initiatives are expected to drive revenue growth and improve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IVFH faces several risks that could impact its financial performance. These include:</w:t>
      </w:r>
    </w:p>
    <w:p>
      <w:pPr>
        <w:spacing w:after="0" w:line="221" w:lineRule="exact"/>
        <w:rPr>
          <w:sz w:val="20"/>
          <w:szCs w:val="20"/>
          <w:color w:val="auto"/>
        </w:rPr>
      </w:pPr>
    </w:p>
    <w:p>
      <w:pPr>
        <w:ind w:left="66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Dependence on Major Customers</w:t>
      </w:r>
      <w:r>
        <w:rPr>
          <w:rFonts w:ascii="Times New Roman" w:cs="Times New Roman" w:eastAsia="Times New Roman" w:hAnsi="Times New Roman"/>
          <w:sz w:val="18"/>
          <w:szCs w:val="18"/>
          <w:color w:val="auto"/>
        </w:rPr>
        <w:t>: The Company has historically derived a substantial portion of its revenue from one client, U.S. Foods,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if this relationship were to change materially, it could significantly impact IVFH’s operations.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Economic Conditions</w:t>
      </w:r>
      <w:r>
        <w:rPr>
          <w:rFonts w:ascii="Times New Roman" w:cs="Times New Roman" w:eastAsia="Times New Roman" w:hAnsi="Times New Roman"/>
          <w:sz w:val="18"/>
          <w:szCs w:val="18"/>
          <w:color w:val="auto"/>
        </w:rPr>
        <w:t>: Changes in economic conditions can affect consumer confidence and spending, which in turn can impact IVFH’s sales.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specialty food and foodservice industries are highly competitive, and IVFH competes against other providers of quality foods,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of which have significantly greater resources.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Supply Chain Disruptions</w:t>
      </w:r>
      <w:r>
        <w:rPr>
          <w:rFonts w:ascii="Times New Roman" w:cs="Times New Roman" w:eastAsia="Times New Roman" w:hAnsi="Times New Roman"/>
          <w:sz w:val="18"/>
          <w:szCs w:val="18"/>
          <w:color w:val="auto"/>
        </w:rPr>
        <w:t>: IVFH relies on outside vendors and shippers for its specialty food products, and any interruption in the supply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products or failure to adhere to quality standards could negatively impact the company’s revenues.</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Compliance</w:t>
      </w:r>
      <w:r>
        <w:rPr>
          <w:rFonts w:ascii="Times New Roman" w:cs="Times New Roman" w:eastAsia="Times New Roman" w:hAnsi="Times New Roman"/>
          <w:sz w:val="18"/>
          <w:szCs w:val="18"/>
          <w:color w:val="auto"/>
        </w:rPr>
        <w:t>: Changes in government regulation and supervision could impair IVFH’s sources of revenue and limit its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 its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IVFH has no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In preparing our consolidated financial statements, we make assumptions, judgments, and estimates that can have a significant impact on amounts reported in our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are described in Part II, Item 8, “Nature of Activities and Summary of Significant Accounting Policies,” Note 1, “Business and Summary of Significant Accounting Policies,” in the notes to consolidated financial statements.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and specific estimates involve a greater degree of judgment and complexity. Accordingly, these are the accounting policies we believe are the most critical to aid in fully understanding and evaluating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options in accordance with FASB ASC 718-40. Options are valued upon issuance utilizing the Black-Scholes valuation model. Option expense is recognized over the requisite service period of the related option award. The following table illustrates certain key information regarding our options, SARS, and valuation assumptions at December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Black-Scholes model variables: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77.84-205.63%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86.8-131.55%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3.48-4.10%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3.66-4.71%</w:t>
            </w: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1.00-2.00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2.00-2.75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maintained an allowance in the amount of $218,319 and $40,002 for credit losses at December 31, 2025 and 2024, respectively.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Accrued interest and penalties are included within income taxes payable in the consolidated balance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Company has a net operating loss carryforward of approximately $21,256,747.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long term assets, and finance lease liabilities are presented within accrued liabilities. The Company used our incremental borrowing rate of 6.75% in calculating the value of the ROU assets and liabilities.</w:t>
      </w:r>
    </w:p>
    <w:p>
      <w:pPr>
        <w:sectPr>
          <w:pgSz w:w="11900" w:h="16838" w:orient="portrait"/>
          <w:cols w:equalWidth="0" w:num="1">
            <w:col w:w="11240"/>
          </w:cols>
          <w:pgMar w:left="320" w:top="229"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CBIZ CPAs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85950" cy="540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0" cy="540385"/>
                    </a:xfrm>
                    <a:prstGeom prst="rect">
                      <a:avLst/>
                    </a:prstGeom>
                    <a:noFill/>
                  </pic:spPr>
                </pic:pic>
              </a:graphicData>
            </a:graphic>
          </wp:anchor>
        </w:drawing>
      </w:r>
    </w:p>
    <w:p>
      <w:pPr>
        <w:spacing w:after="0" w:line="2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500 W. Monroe Street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Chicago, IL 60661</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 312.632.5000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Food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Innovative Food Holdings, Inc. (the “Company”) as of December 31, 2025, the related consolidated statements of operations, changes in stockholders’ equity and cash flows for the year ended December 31, 2025, and the related notes to the consolidated financial statements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123190</wp:posOffset>
            </wp:positionV>
            <wp:extent cx="1705610"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0561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280035</wp:posOffset>
            </wp:positionV>
            <wp:extent cx="1860550" cy="934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0550" cy="934085"/>
                    </a:xfrm>
                    <a:prstGeom prst="rect">
                      <a:avLst/>
                    </a:prstGeom>
                    <a:noFill/>
                  </pic:spPr>
                </pic:pic>
              </a:graphicData>
            </a:graphic>
          </wp:anchor>
        </w:drawing>
      </w:r>
    </w:p>
    <w:p>
      <w:pPr>
        <w:sectPr>
          <w:pgSz w:w="11900" w:h="16838" w:orient="portrait"/>
          <w:cols w:equalWidth="0" w:num="1">
            <w:col w:w="11240"/>
          </w:cols>
          <w:pgMar w:left="320" w:top="229" w:right="339" w:bottom="5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513"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291465</wp:posOffset>
            </wp:positionV>
            <wp:extent cx="5760720" cy="668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Innovative Food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Innovative Food Holdings, Inc. and Subsidiaries (the Company) as of December 31, 2024 and the related consolidated statements of operations, stockholders’ equity and cash flows for the year ended December 31, 2024 and the related consolidated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identify any critical audit matters that need to be communicated.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34160" cy="316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416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Coral Springs,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 except for Note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dated March 27,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ASSURANCE DIMENSIONS,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also d/b/a McNAMARA and ASSOCIATES, LLC</w:t>
      </w:r>
    </w:p>
    <w:p>
      <w:pPr>
        <w:spacing w:after="0" w:line="2" w:lineRule="exact"/>
        <w:rPr>
          <w:sz w:val="20"/>
          <w:szCs w:val="20"/>
          <w:color w:val="auto"/>
        </w:rPr>
      </w:pP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TAMPA BAY</w:t>
      </w:r>
      <w:r>
        <w:rPr>
          <w:rFonts w:ascii="Times New Roman" w:cs="Times New Roman" w:eastAsia="Times New Roman" w:hAnsi="Times New Roman"/>
          <w:sz w:val="14"/>
          <w:szCs w:val="14"/>
          <w:color w:val="auto"/>
        </w:rPr>
        <w:t>: 4920 W Cypress Street, Suite 102 | Tampa, FL 33607 | Office: 813.443.5048 | Fax: 813.443.5053</w:t>
      </w:r>
      <w:r>
        <w:rPr>
          <w:rFonts w:ascii="Times New Roman" w:cs="Times New Roman" w:eastAsia="Times New Roman" w:hAnsi="Times New Roman"/>
          <w:sz w:val="14"/>
          <w:szCs w:val="14"/>
          <w:b w:val="1"/>
          <w:bCs w:val="1"/>
          <w:color w:val="auto"/>
        </w:rPr>
        <w:t xml:space="preserve"> JACKSONVILLE</w:t>
      </w:r>
      <w:r>
        <w:rPr>
          <w:rFonts w:ascii="Times New Roman" w:cs="Times New Roman" w:eastAsia="Times New Roman" w:hAnsi="Times New Roman"/>
          <w:sz w:val="14"/>
          <w:szCs w:val="14"/>
          <w:color w:val="auto"/>
        </w:rPr>
        <w:t>: 7800 Belfort Parkway, Suite 290 | Jacksonville, FL 32256 | Office: 888.410.2323 | Fax: 813.443.5053</w:t>
      </w:r>
      <w:r>
        <w:rPr>
          <w:rFonts w:ascii="Times New Roman" w:cs="Times New Roman" w:eastAsia="Times New Roman" w:hAnsi="Times New Roman"/>
          <w:sz w:val="14"/>
          <w:szCs w:val="14"/>
          <w:b w:val="1"/>
          <w:bCs w:val="1"/>
          <w:color w:val="auto"/>
        </w:rPr>
        <w:t xml:space="preserve"> ORLANDO: </w:t>
      </w:r>
      <w:r>
        <w:rPr>
          <w:rFonts w:ascii="Times New Roman" w:cs="Times New Roman" w:eastAsia="Times New Roman" w:hAnsi="Times New Roman"/>
          <w:sz w:val="14"/>
          <w:szCs w:val="14"/>
          <w:color w:val="auto"/>
        </w:rPr>
        <w:t>1800 Pembrook Drive, Suite 300 | Orlando, FL 32810 | Office: 888.410.2323 | Fax: 813.443.5053</w:t>
      </w:r>
      <w:r>
        <w:rPr>
          <w:rFonts w:ascii="Times New Roman" w:cs="Times New Roman" w:eastAsia="Times New Roman" w:hAnsi="Times New Roman"/>
          <w:sz w:val="14"/>
          <w:szCs w:val="14"/>
          <w:b w:val="1"/>
          <w:bCs w:val="1"/>
          <w:color w:val="auto"/>
        </w:rPr>
        <w:t xml:space="preserve"> SOUTH FLORIDA</w:t>
      </w:r>
      <w:r>
        <w:rPr>
          <w:rFonts w:ascii="Times New Roman" w:cs="Times New Roman" w:eastAsia="Times New Roman" w:hAnsi="Times New Roman"/>
          <w:sz w:val="14"/>
          <w:szCs w:val="14"/>
          <w:color w:val="auto"/>
        </w:rPr>
        <w:t>: 3111 N. University Drive, Suite 621 | Coral Springs, FL 33065 | Office: 754.800.3400 | Fax: 813.443.5053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www.assurancedimensions.com</w:t>
      </w:r>
    </w:p>
    <w:p>
      <w:pPr>
        <w:spacing w:after="0" w:line="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4"/>
          <w:szCs w:val="14"/>
          <w:color w:val="auto"/>
        </w:rPr>
        <w:t>“Assurance Dimensions” is the brand name under which Assurance Dimensions, LLC including its subsidiary McNamara and Associates, LLC (referred together as “AD LLC”) and AbitOs Advisors, LLC (“AbitOs Advisors”), provide professional services. AD LLC and AbitOs Advisors practice as an alternative practice structure in accordance with the AICPA Code of Professional Conduct and applicable laws, regulations, and professional standards. AD LLC is a licensed independent CPA firm that provides attest services to its clients, and AbitOs Advisors provide tax and business consulting services to their clients. AbitOs Advisors, and its subsidiary entities are not licensed CPA firms.</w:t>
      </w:r>
    </w:p>
    <w:p>
      <w:pPr>
        <w:sectPr>
          <w:pgSz w:w="11900" w:h="16838" w:orient="portrait"/>
          <w:cols w:equalWidth="0" w:num="1">
            <w:col w:w="11240"/>
          </w:cols>
          <w:pgMar w:left="320" w:top="229" w:right="339" w:bottom="108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08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927,468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1,278,088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restricted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507,517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859,781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5,300,190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5,862,445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3,473,604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3,508,488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235,125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 held for sale – discontinued operations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6,144,793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5,941,933</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 - discontinued operations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281,699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6,204,514</w:t>
            </w:r>
          </w:p>
        </w:tc>
        <w:tc>
          <w:tcPr>
            <w:tcW w:w="0" w:type="dxa"/>
            <w:vAlign w:val="bottom"/>
          </w:tcPr>
          <w:p>
            <w:pPr>
              <w:spacing w:after="0"/>
              <w:rPr>
                <w:sz w:val="1"/>
                <w:szCs w:val="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16,779,414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1,273,310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1,271,811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 - operating leases,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705,476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Right of use assets - finance leases,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205,340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83,348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338,059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424,372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Non-current assets - discontinued operations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215,509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753,992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19,581,021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27,346,373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3,035,799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4,436,042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separation costs - related parties, 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109,236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334,532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appreciation rights liability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1,353,150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82,191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liability - operating leases, 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285,534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239,660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 finance leases, 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60,519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Contingent liability, 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54,430</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8,877,624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2,834,800</w:t>
            </w:r>
          </w:p>
        </w:tc>
        <w:tc>
          <w:tcPr>
            <w:tcW w:w="0" w:type="dxa"/>
            <w:vAlign w:val="bottom"/>
          </w:tcPr>
          <w:p>
            <w:pPr>
              <w:spacing w:after="0"/>
              <w:rPr>
                <w:sz w:val="1"/>
                <w:szCs w:val="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12,439,228</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Note payable non-current, net of discount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216,947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282,793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separation costs - related parties, non-current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457,692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Lease liability - operating leases, non-current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234,963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467,569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 finance leases, non-current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139,591</w:t>
            </w:r>
          </w:p>
        </w:tc>
        <w:tc>
          <w:tcPr>
            <w:tcW w:w="0" w:type="dxa"/>
            <w:vAlign w:val="bottom"/>
          </w:tcPr>
          <w:p>
            <w:pPr>
              <w:spacing w:after="0"/>
              <w:rPr>
                <w:sz w:val="1"/>
                <w:szCs w:val="1"/>
                <w:color w:val="auto"/>
              </w:rPr>
            </w:pPr>
          </w:p>
        </w:tc>
      </w:tr>
      <w:tr>
        <w:trPr>
          <w:trHeight w:val="230"/>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Noncurrent liabilities - discontinued operations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8,409,881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13,343,821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&amp; Contingencies (see Note 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57,493,776 and 56,009,032 shares issued,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54,649,479 and 53,164,735 shares outstanding at December 31, 2025 and 2024,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to be issued 0 and 738,032 shares at December 31, 2025 and 2024, respectively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45,647,902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45,520,121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2,644,297 shares outstanding at December 31, 2025 and 2024</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(1,141,372)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(1,141,372)</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(38,275,076)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(36,209,764)</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6,237,200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8,174,657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19,581,021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27,346,373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vMerge w:val="restart"/>
          </w:tcPr>
          <w:p>
            <w:pPr>
              <w:jc w:val="center"/>
              <w:ind w:left="121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60,678,166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59,448,427</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45,049,103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44,427,644</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15,629,063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15,020,783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12,993,435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13,748,613</w:t>
            </w:r>
          </w:p>
        </w:tc>
        <w:tc>
          <w:tcPr>
            <w:tcW w:w="0" w:type="dxa"/>
            <w:vAlign w:val="bottom"/>
          </w:tcPr>
          <w:p>
            <w:pPr>
              <w:spacing w:after="0"/>
              <w:rPr>
                <w:sz w:val="1"/>
                <w:szCs w:val="1"/>
                <w:color w:val="auto"/>
              </w:rPr>
            </w:pPr>
          </w:p>
        </w:tc>
      </w:tr>
      <w:tr>
        <w:trPr>
          <w:trHeight w:val="210"/>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12,993,435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13,748,613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2,635,628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1,272,170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41,530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2,816,616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leasing income</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2,607,834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4,151,442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80,787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2,527,047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4,151,442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(4,592,359)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(1,539,928)</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(2,065,312)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2,611,514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from continuing operations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from continuing operations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from discontinued operations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from discontinued operations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54,582,651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50,563,992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54,582,651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51,315,879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jc w:val="center"/>
              <w:ind w:left="121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28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w w:val="95"/>
              </w:rPr>
              <w:t>F-4</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20" w:type="dxa"/>
            <w:vAlign w:val="bottom"/>
            <w:gridSpan w:val="16"/>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Changes in Stockholders’ Equity</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1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2025 and 2024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Common Stock to be</w:t>
            </w:r>
          </w:p>
        </w:tc>
        <w:tc>
          <w:tcPr>
            <w:tcW w:w="80" w:type="dxa"/>
            <w:vAlign w:val="bottom"/>
          </w:tcPr>
          <w:p>
            <w:pPr>
              <w:spacing w:after="0"/>
              <w:rPr>
                <w:sz w:val="24"/>
                <w:szCs w:val="24"/>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8"/>
        </w:trPr>
        <w:tc>
          <w:tcPr>
            <w:tcW w:w="130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52,538,100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5,251</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$ 42,762,811</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2,623,171</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(1,141,370)</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(38,821,278)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2,805,414</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returned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treasury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from sale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(21,124)</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21,126</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(21,126)</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under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437,339</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437,339</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earned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2,029,513</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738,032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(613,969)</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(908,497)</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(908,558)</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 for</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cashless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24,138</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sold for</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in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2,031,250</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3,249,797</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3,250,000</w:t>
            </w:r>
          </w:p>
        </w:tc>
      </w:tr>
      <w:tr>
        <w:trPr>
          <w:trHeight w:val="229"/>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2,611,514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2,611,514</w:t>
            </w:r>
          </w:p>
        </w:tc>
      </w:tr>
      <w:tr>
        <w:trPr>
          <w:trHeight w:val="178"/>
        </w:trPr>
        <w:tc>
          <w:tcPr>
            <w:tcW w:w="130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w:t>
            </w:r>
          </w:p>
        </w:tc>
        <w:tc>
          <w:tcPr>
            <w:tcW w:w="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56,009,032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5,598</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738,032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45,520,121</w:t>
            </w:r>
          </w:p>
        </w:tc>
        <w:tc>
          <w:tcPr>
            <w:tcW w:w="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2,644,297</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(1,141,372)</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(36,209,764)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8,174,657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56,009,032</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5,598</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738,032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45,520,121</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2,644,297</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(1,141,372)</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(36,209,764)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8,174,657</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under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404,032</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404,032</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earned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1,400,718</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(738,032)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in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cashless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84,026</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paid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(276,177)</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(276,177)</w:t>
            </w:r>
          </w:p>
        </w:tc>
      </w:tr>
      <w:tr>
        <w:trPr>
          <w:trHeight w:val="229"/>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(2,065,312)</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(2,065,312)</w:t>
            </w:r>
          </w:p>
        </w:tc>
      </w:tr>
      <w:tr>
        <w:trPr>
          <w:trHeight w:val="178"/>
        </w:trPr>
        <w:tc>
          <w:tcPr>
            <w:tcW w:w="130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57,493,776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5,746</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45,647,902</w:t>
            </w:r>
          </w:p>
        </w:tc>
        <w:tc>
          <w:tcPr>
            <w:tcW w:w="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2,644,297</w:t>
            </w: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(1,141,372)</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(38,275,076)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6,237,200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83"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EE"/>
            </w:tcBorders>
          </w:tcPr>
          <w:p>
            <w:pPr>
              <w:spacing w:after="0"/>
              <w:rPr>
                <w:sz w:val="24"/>
                <w:szCs w:val="24"/>
                <w:color w:val="auto"/>
              </w:rPr>
            </w:pPr>
          </w:p>
        </w:tc>
        <w:tc>
          <w:tcPr>
            <w:tcW w:w="74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(2,065,312)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2,611,514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106,591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(2,816,616)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sale of subsidiaries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377,550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273,084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253,041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31,046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5,136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404,032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437,339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derecognition of note payable and accrued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(39,154)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value of stock appreciation rights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(1,337,007)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1,098,130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valuation adjustment associated with facility closure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1,486,893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124,831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3,417,539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(3,826,006)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Inventory, net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1,329,991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(1,977,195)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(64,730)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41,002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(3,515,394)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(850,125)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separation costs -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(282,988)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(790,769)</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(246,686)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(52,856)</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(6,271,993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 of Golden Organics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(1,231,379)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received in acquisition of Loco Foods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purchase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(242,322)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received from disposition of equipment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disposition of building, net of loan payoff</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2,101,185</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received from disposition of intangible assets, net of costs</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617,000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received from sale of common stock, net of costs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3,250,000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for taxes related to net share settlement of equity awards,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(276,177)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(908,484)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(180,143)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(95,546)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(188,684)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(228,356)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received from line of credit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line of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(645,004)</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2,017,614</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(860,183)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(3,042,140)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2,380,195</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5,422,335</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 -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1,434,985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2,137,869</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 - 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242,326</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1,520,012</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816,086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896,709</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Reclassify fixed assets as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5,941,933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and accrued interest paid from escrow to Maple Mark Bank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353,815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 under compensation plans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from common stock to be issued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stock for cashless exercise of options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16" w:right="339" w:bottom="0" w:gutter="0" w:footer="0" w:header="0"/>
        </w:sectPr>
      </w:pPr>
    </w:p>
    <w:bookmarkStart w:id="32" w:name="page33"/>
    <w:bookmarkEnd w:id="32"/>
    <w:p>
      <w:pPr>
        <w:spacing w:after="0"/>
        <w:tabs>
          <w:tab w:leader="none" w:pos="8660" w:val="left"/>
          <w:tab w:leader="none" w:pos="9380" w:val="left"/>
          <w:tab w:leader="none" w:pos="10000" w:val="left"/>
          <w:tab w:leader="none" w:pos="11060" w:val="left"/>
        </w:tabs>
        <w:rPr>
          <w:sz w:val="20"/>
          <w:szCs w:val="20"/>
          <w:color w:val="auto"/>
        </w:rPr>
      </w:pPr>
      <w:r>
        <w:rPr>
          <w:rFonts w:ascii="Times New Roman" w:cs="Times New Roman" w:eastAsia="Times New Roman" w:hAnsi="Times New Roman"/>
          <w:sz w:val="18"/>
          <w:szCs w:val="18"/>
          <w:color w:val="auto"/>
        </w:rPr>
        <w:t>Capitalized interest on financing lease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2,845</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34290</wp:posOffset>
            </wp:positionV>
            <wp:extent cx="156019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0195" cy="2540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ACTIVITIES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those of Innovative Food Holdings, Inc. and all of its wholly-owned subsidiaries (collectively, the “Company”) and have been prepared in accordance with generally accepted accounting principles. All intercompany transactions have been eliminated in consolidation. In the opinion of management, the audited consolidated financial statements reflect all adjustments, including normal recurring adjustments, necessary for fair presentation of the interim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difficult-to-find specialty foods primarily to both Professional Chefs and Home Gourmets through the Company’s relationships with producers, growers, makers and distributors of these products worldwide. The distribution of these products primarily originates from the Company’s two unified warehouses and those of its drop ship partners, and is driven by its proprietary technology platform. In addition, the Company provides value-added services through its team of food specialists and Chef Advisors who offer customer support, menu ideas, and preparation guidance.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relied on the guidance of Accounts Standards Codification (“ASC”) 205-20,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in presenting the results of our discontinued operations. On February 26, 2024, the Company completed the sale of its Haley subsidiary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5), and the activities of P Innovations (“Plantbelly”) were abandoned; and on October 8, 2024, the Company completed the sale of substantially all of the assets of Mouth. During the year ended December 31, 2024, the accounts of the following entities are included in net loss from discontinued operations: GROW, Oasis, Haley, P Innovations, and Mouth. The only remaining assets and liabilities on the Company’s balance sheet at December 31, 2024 related to discontinued operations is cash in the amount of $49,315 held by Mouth. During the third quarter of fiscal 2025, the Company committed to a strategic exit of its retail specialty cheese business, which served as the primary component of its national distribution platform. Accordingly, results for this business for all prior periods presented have been retrospectively reclassified to discontinued operations in accordance with ASC 205-20. In connection with this decision, the Company also elected to discontinue its related logistics operations and specialty cheese cutting activities, including igourmet, along with the Company’s logistics subsidiary (LII/IFP). During the year ended December 31, 2025, the accounts of the following entities are included in net loss from discontinued operations and in the discontinued operations sections of our balance sheet: IFP, LII, and the activity of igourmet directly related to our cheese business. See Note 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the Company to make estimates and judgments that affect the reported amounts of assets, liabilities, revenues and expenses, and related disclosure of contingent assets and liabilities. On an on-going basis, the Company evaluates these estimates, including those related to revenue recognition and concentration of credit risk.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 for credit losses, allowance for slow moving and obsolete inventory, income taxes, contingent liabilities, operating and finance right of use assets and liabilities, and equity-based instruments. Actual results may differ from these estimates under different assumptions or conditions. The Company believes its estimates have not been materially inaccurate in past years, and its assumptions are not likely to change in the foreseeable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presented in the financial statements of the prior period have been reclassified to conform with the current period presentation of discontinued operations. See Note 3. In addition, restricted cash has been included with unrestricted cash in the cash totals in the statement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product sales upon product delivery. All of its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revenue from product sales (i.e., specialty foodservice and e-commerce), the Company recognizes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Warehouse and logistic services revenue is primarily comprised of inventory management, order fulfilment and warehousing services. Warehouse and logistics services revenues are recognized at the point in time when the services are rendered to the customer. Warehouse rental services are recognized over the period the service is provided.</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by sales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Local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7"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p>
      <w:pPr>
        <w:ind w:left="325" w:hanging="325"/>
        <w:spacing w:after="0"/>
        <w:tabs>
          <w:tab w:leader="none" w:pos="3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32,499,215   $  35,020,760</w:t>
      </w:r>
    </w:p>
    <w:p>
      <w:pPr>
        <w:spacing w:after="0" w:line="22" w:lineRule="exact"/>
        <w:rPr>
          <w:rFonts w:ascii="Times New Roman" w:cs="Times New Roman" w:eastAsia="Times New Roman" w:hAnsi="Times New Roman"/>
          <w:sz w:val="18"/>
          <w:szCs w:val="18"/>
          <w:color w:val="auto"/>
        </w:rPr>
      </w:pPr>
    </w:p>
    <w:p>
      <w:pPr>
        <w:ind w:left="3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12,926,00012,337,767</w:t>
      </w:r>
    </w:p>
    <w:p>
      <w:pPr>
        <w:spacing w:after="0" w:line="9" w:lineRule="exact"/>
        <w:rPr>
          <w:rFonts w:ascii="Times New Roman" w:cs="Times New Roman" w:eastAsia="Times New Roman" w:hAnsi="Times New Roman"/>
          <w:sz w:val="18"/>
          <w:szCs w:val="18"/>
          <w:color w:val="auto"/>
        </w:rPr>
      </w:pPr>
    </w:p>
    <w:p>
      <w:pPr>
        <w:ind w:left="3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15,252,95112,089,900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1" w:lineRule="exact"/>
        <w:rPr>
          <w:sz w:val="20"/>
          <w:szCs w:val="20"/>
          <w:color w:val="auto"/>
        </w:rPr>
      </w:pPr>
    </w:p>
    <w:p>
      <w:pPr>
        <w:ind w:left="5"/>
        <w:spacing w:after="0"/>
        <w:tabs>
          <w:tab w:leader="none" w:pos="305" w:val="left"/>
          <w:tab w:leader="none" w:pos="1325" w:val="left"/>
          <w:tab w:leader="none" w:pos="1625" w:val="left"/>
        </w:tabs>
        <w:rPr>
          <w:sz w:val="20"/>
          <w:szCs w:val="20"/>
          <w:color w:val="auto"/>
        </w:rPr>
      </w:pPr>
      <w:r>
        <w:rPr>
          <w:rFonts w:ascii="Times New Roman" w:cs="Times New Roman" w:eastAsia="Times New Roman" w:hAnsi="Times New Roman"/>
          <w:sz w:val="18"/>
          <w:szCs w:val="18"/>
          <w:u w:val="single" w:color="auto"/>
          <w:color w:val="auto"/>
        </w:rPr>
        <w:t>$</w:t>
        <w:tab/>
        <w:t>60,678,166</w:t>
        <w:tab/>
        <w:t>$</w:t>
        <w:tab/>
        <w:t>59,448,427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8500" w:space="175"/>
            <w:col w:w="2565"/>
          </w:cols>
          <w:pgMar w:left="320" w:top="229" w:right="3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cost of goods sold all costs which are directly related to the generation of revenue. These costs include primarily the cost of food and raw materials, packing and handling, shipping, and delivery costs. The Company has also included all payroll costs as cost of goods sold in its warehouse and logistics services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included in selling, general, and administrative expenses all other costs which support its operations, but which are not includable as a cost of sales. These include primarily payroll, facility costs such as rent and utilities, selling expenses such as commissions and advertising, amortization of intangible assets, depreciation, and other administrative costs including professional fees and costs associated with non-cash stock compensation. Advertising costs are expensed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include all highly liquid debt instruments with original maturities of three months or less which are not securing any corporate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that is contractually restricted as to withdrawal or usage. The Company’s restricted cash primarily relates to cash held by MapleMark Bank for the purpose of funding capital acquisitions.</w:t>
      </w:r>
    </w:p>
    <w:p>
      <w:pPr>
        <w:sectPr>
          <w:pgSz w:w="11900" w:h="16838" w:orient="portrait"/>
          <w:cols w:equalWidth="0" w:num="1">
            <w:col w:w="11240"/>
          </w:cols>
          <w:pgMar w:left="320" w:top="229" w:right="339"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accounts receivable. The Company places its cash and temporary cash in investments with credit quality institutions. At times, such investments may be in excess of applicable government mandated insurance limit. At December 31, 2025 and 2024, trade receivables from the Company’s largest customer amounted to 18% and 10%, respectively, of total trade receivables. During the year ended December 31, 2025 and 2024, sales from the Company’s largest customer amounted to 42% and 52% of total sales,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December 31, 2025 and 2024, the total cash in excess of these limits was $261,808 and $1,016,918,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provides an allowance for credit losses equal to the estimated uncollectible amounts pursuant to the guidance of Accounting Standards Update (“ASU”) 2016-13, Financial Instruments – Credit Losses (Topic 326) as codified in ASC 326, Financial Instruments – Credit Losses. Under ASC 326, the Company utilizes a current and expected credit loss (CECL) impairment model. The Company’s estimate is based on historical collection experience and a review of the current status of trade accounts receivable. It is reasonably possible that the Company’s estimate of the allowance for credit losses will change. Accounts receivable are presented net of an allowance for credit losses of $218,319 and $40,002 at December 31, 2025, and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that the Company plans to sell within the next year. Long-lived assets that meet the held for sale criteria are held for sale and reported at the lower of their carrying value or fair value, less estimated costs to sell. If the determination is made that the Company no longer expects to sell an asset within the next year, the asset is reclassified out of assets held for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valued at cost. Depreciation is provided over the estimated useful lives using the straight-line method. Leasehold improvements are depreciated on a straight-line basis over the lesser of the lease term or useful life.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service lives of property and equipment are as follows:</w:t>
      </w:r>
    </w:p>
    <w:p>
      <w:pPr>
        <w:spacing w:after="0" w:line="225"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Computer and Office Equipment</w:t>
      </w:r>
      <w:r>
        <w:rPr>
          <w:sz w:val="20"/>
          <w:szCs w:val="20"/>
          <w:color w:val="auto"/>
        </w:rPr>
        <w:tab/>
      </w:r>
      <w:r>
        <w:rPr>
          <w:rFonts w:ascii="Times New Roman" w:cs="Times New Roman" w:eastAsia="Times New Roman" w:hAnsi="Times New Roman"/>
          <w:sz w:val="17"/>
          <w:szCs w:val="17"/>
          <w:color w:val="auto"/>
        </w:rPr>
        <w:t>3 years</w:t>
      </w:r>
    </w:p>
    <w:p>
      <w:pPr>
        <w:spacing w:after="0" w:line="27"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Warehouse Equipment</w:t>
      </w:r>
      <w:r>
        <w:rPr>
          <w:sz w:val="20"/>
          <w:szCs w:val="20"/>
          <w:color w:val="auto"/>
        </w:rPr>
        <w:tab/>
      </w:r>
      <w:r>
        <w:rPr>
          <w:rFonts w:ascii="Times New Roman" w:cs="Times New Roman" w:eastAsia="Times New Roman" w:hAnsi="Times New Roman"/>
          <w:sz w:val="17"/>
          <w:szCs w:val="17"/>
          <w:color w:val="auto"/>
        </w:rPr>
        <w:t>5-10 years</w:t>
      </w:r>
    </w:p>
    <w:p>
      <w:pPr>
        <w:spacing w:after="0" w:line="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Furniture and Fixtures</w:t>
      </w:r>
      <w:r>
        <w:rPr>
          <w:sz w:val="20"/>
          <w:szCs w:val="20"/>
          <w:color w:val="auto"/>
        </w:rPr>
        <w:tab/>
      </w:r>
      <w:r>
        <w:rPr>
          <w:rFonts w:ascii="Times New Roman" w:cs="Times New Roman" w:eastAsia="Times New Roman" w:hAnsi="Times New Roman"/>
          <w:sz w:val="17"/>
          <w:szCs w:val="17"/>
          <w:color w:val="auto"/>
        </w:rPr>
        <w:t>5 years</w:t>
      </w:r>
    </w:p>
    <w:p>
      <w:pPr>
        <w:spacing w:after="0" w:line="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Vehicles</w:t>
      </w:r>
      <w:r>
        <w:rPr>
          <w:sz w:val="20"/>
          <w:szCs w:val="20"/>
          <w:color w:val="auto"/>
        </w:rPr>
        <w:tab/>
      </w: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Buildings</w:t>
      </w:r>
      <w:r>
        <w:rPr>
          <w:sz w:val="20"/>
          <w:szCs w:val="20"/>
          <w:color w:val="auto"/>
        </w:rPr>
        <w:tab/>
      </w:r>
      <w:r>
        <w:rPr>
          <w:rFonts w:ascii="Times New Roman" w:cs="Times New Roman" w:eastAsia="Times New Roman" w:hAnsi="Times New Roman"/>
          <w:sz w:val="18"/>
          <w:szCs w:val="18"/>
          <w:color w:val="auto"/>
        </w:rPr>
        <w:t>30 years</w:t>
      </w:r>
    </w:p>
    <w:p>
      <w:pPr>
        <w:spacing w:after="0" w:line="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Leasehold Improvements</w:t>
      </w:r>
      <w:r>
        <w:rPr>
          <w:sz w:val="20"/>
          <w:szCs w:val="20"/>
          <w:color w:val="auto"/>
        </w:rPr>
        <w:tab/>
      </w:r>
      <w:r>
        <w:rPr>
          <w:rFonts w:ascii="Times New Roman" w:cs="Times New Roman" w:eastAsia="Times New Roman" w:hAnsi="Times New Roman"/>
          <w:sz w:val="17"/>
          <w:szCs w:val="17"/>
          <w:color w:val="auto"/>
        </w:rPr>
        <w:t>Term of 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and is determined by the average cost method. The Company adjusts inventory based upon bi-weekly cycle counts and upon the expiration date of food products. In addition, the Company records a provision for excess, obsolete, and slow-moving inventory. This provision reduces the carrying value of inventory to its net realizable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in accordance with ASC 740. The Company recognizes deferred tax liabilities and assets for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The components of the deferred tax assets and liabilities are classified as current and non-current based on their characteristics. A valuation allowance is provided for certain deferred tax assets if it is more likely than not that the Company will not realize tax assets through future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The Company recognizes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settlement.The Company classifies interest and penalties related to unrecognized tax benefits as a component of income tax expense in the accompanying statements of operations.</w:t>
      </w:r>
    </w:p>
    <w:p>
      <w:pPr>
        <w:sectPr>
          <w:pgSz w:w="11900" w:h="16838" w:orient="portrait"/>
          <w:cols w:equalWidth="0" w:num="1">
            <w:col w:w="11240"/>
          </w:cols>
          <w:pgMar w:left="320" w:top="229"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accounts receivable, notes payable, line of credit, accounts payable and accrued expenses, none of which is held for trading, approximates their estimated fair values due to the short-term maturities of those financial instruments.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adopted ASC 820-10, “Fair Value Measurements”, which provides a framework for measuring fair value under GAAP.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requires that valuation techniques maximize the use of observable inputs and minimize the use of unobservable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property and equipment and any identifiable intangibles for impairment whenever events or changes in circumstances indicate that the carrying amount of an asset may not be recoverable. The recoverability of assets to be held and used is measured by a comparison of the carrying amount of an asset to the future undiscounted operating cash flow expected to be generated by the asset. If such assets are considered to be impaired, the impairment to be recognized is measured by the amount by which the carrying amount of the asset exceeds the fair value of the asset. Long-lived assets to be disposed of are reported at the lower of carrying amount or fair value less costs to sell.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Income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 diluted net earnings per share is based on the weighted average number of shares of common stock and potentially dilutive securities assumed to be outstanding during the period using the treasury stock method. Potentially dilutive securities consist of stock options and restricted stock awards (“RSAs”).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and RSAs for which the exercise or vesting price exceeds the average market price over the period have an anti-dilutive effect on earnings per common share and, accordingly, are excluded from the calculation.</w:t>
      </w:r>
    </w:p>
    <w:p>
      <w:pPr>
        <w:spacing w:after="0" w:line="17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1" w:lineRule="exact"/>
        <w:rPr>
          <w:sz w:val="20"/>
          <w:szCs w:val="20"/>
          <w:color w:val="auto"/>
        </w:rPr>
      </w:pPr>
    </w:p>
    <w:p>
      <w:pPr>
        <w:jc w:val="center"/>
        <w:ind w:left="8560"/>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December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23"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continuing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Dilutive effect of stock issuable under compensation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05" w:hanging="405"/>
        <w:spacing w:after="0"/>
        <w:tabs>
          <w:tab w:leader="none" w:pos="4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2,527,047   $   4,151,442</w:t>
      </w:r>
    </w:p>
    <w:p>
      <w:pPr>
        <w:spacing w:after="0" w:line="225" w:lineRule="exact"/>
        <w:rPr>
          <w:sz w:val="20"/>
          <w:szCs w:val="20"/>
          <w:color w:val="auto"/>
        </w:rPr>
      </w:pPr>
    </w:p>
    <w:p>
      <w:pPr>
        <w:jc w:val="both"/>
        <w:ind w:left="325"/>
        <w:spacing w:after="0"/>
        <w:tabs>
          <w:tab w:leader="none" w:pos="1625" w:val="left"/>
        </w:tabs>
        <w:rPr>
          <w:sz w:val="20"/>
          <w:szCs w:val="20"/>
          <w:color w:val="auto"/>
        </w:rPr>
      </w:pPr>
      <w:r>
        <w:rPr>
          <w:rFonts w:ascii="Times New Roman" w:cs="Times New Roman" w:eastAsia="Times New Roman" w:hAnsi="Times New Roman"/>
          <w:sz w:val="18"/>
          <w:szCs w:val="18"/>
          <w:color w:val="auto"/>
        </w:rPr>
        <w:t>54,582,651</w:t>
      </w:r>
      <w:r>
        <w:rPr>
          <w:sz w:val="20"/>
          <w:szCs w:val="20"/>
          <w:color w:val="auto"/>
        </w:rPr>
        <w:tab/>
      </w:r>
      <w:r>
        <w:rPr>
          <w:rFonts w:ascii="Times New Roman" w:cs="Times New Roman" w:eastAsia="Times New Roman" w:hAnsi="Times New Roman"/>
          <w:sz w:val="18"/>
          <w:szCs w:val="18"/>
          <w:color w:val="auto"/>
        </w:rPr>
        <w:t>50,563,992</w:t>
      </w:r>
    </w:p>
    <w:p>
      <w:pPr>
        <w:spacing w:after="0" w:line="27" w:lineRule="exact"/>
        <w:rPr>
          <w:sz w:val="20"/>
          <w:szCs w:val="20"/>
          <w:color w:val="auto"/>
        </w:rPr>
      </w:pPr>
    </w:p>
    <w:p>
      <w:pPr>
        <w:ind w:left="1865" w:hanging="791"/>
        <w:spacing w:after="0"/>
        <w:tabs>
          <w:tab w:leader="none" w:pos="18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751,887</w:t>
      </w:r>
    </w:p>
    <w:p>
      <w:pPr>
        <w:spacing w:after="0" w:line="31" w:lineRule="exact"/>
        <w:rPr>
          <w:rFonts w:ascii="Times New Roman" w:cs="Times New Roman" w:eastAsia="Times New Roman" w:hAnsi="Times New Roman"/>
          <w:sz w:val="18"/>
          <w:szCs w:val="18"/>
          <w:color w:val="auto"/>
        </w:rPr>
      </w:pPr>
    </w:p>
    <w:p>
      <w:pPr>
        <w:ind w:left="3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54,582,65151,315,879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560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229"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 - basic</w:t>
            </w:r>
          </w:p>
        </w:tc>
        <w:tc>
          <w:tcPr>
            <w:tcW w:w="2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0.046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0.082</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from continuing operations - diluted</w:t>
            </w:r>
          </w:p>
        </w:tc>
        <w:tc>
          <w:tcPr>
            <w:tcW w:w="2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0.046</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 options outstanding at December 31, 2024 have been exercised or expired as of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stock-based compensation cost at fair value on the date of grant for all share-based awards and recognizes compensation expense over the service period that the awards are expected to vest. The Company has elected to recognize compensation cost for graded-vesting awards subject only to a service condition over the requisite service period of the entire award. For performance awards, the Company begins recognizing expense in the period in which vesting becomes probable. The Company accounts for forfeitures as they occur.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there were 300,000 unvested RSAs remaining from grants in a prior year. Those 300,000 RSAs will vest as follows: 125,000 RSAS will vest contingent upon the attainment of a stock price of $2.00 per share for 20 straight trading days, and an additional 175,000 RSAs will vest contingent upon the attainment of a stock price of $3.00 per share for 20 straight trading days. The fair value of these RSAs at the date of the grants will be charged to operations upon vesting. At December 31, 2025, none of these RSAs were vested. There was no charge to operations for these RSAs during the year ended December 31, 2025.</w:t>
      </w:r>
    </w:p>
    <w:p>
      <w:pPr>
        <w:sectPr>
          <w:pgSz w:w="11900" w:h="16838" w:orient="portrait"/>
          <w:cols w:equalWidth="0" w:num="1">
            <w:col w:w="11240"/>
          </w:cols>
          <w:pgMar w:left="320" w:top="229" w:right="339" w:bottom="144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in place share-based incentive plans for its executive team (the “Executive Stock Plans”). See Note 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shares are granted under the Company’s Executive Stock Plans, the Company withholds the number of shares required to satisfy income tax withholding requirements on the award, calculated at the market value of the Company’s stock on the date the award is granted.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charged the amount of $404,032 to operations in connection with Executive Stock Plans. See Note 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there were no shares of common stock which have vested and are issuable pursuant to Executive Stock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0"/>
        </w:trPr>
        <w:tc>
          <w:tcPr>
            <w:tcW w:w="800" w:type="dxa"/>
            <w:vAlign w:val="bottom"/>
          </w:tcPr>
          <w:p>
            <w:pPr>
              <w:spacing w:after="0"/>
              <w:rPr>
                <w:sz w:val="19"/>
                <w:szCs w:val="19"/>
                <w:color w:val="auto"/>
              </w:rPr>
            </w:pPr>
          </w:p>
        </w:tc>
        <w:tc>
          <w:tcPr>
            <w:tcW w:w="30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800" w:type="dxa"/>
            <w:vAlign w:val="bottom"/>
            <w:gridSpan w:val="2"/>
          </w:tcPr>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800" w:type="dxa"/>
            <w:vAlign w:val="bottom"/>
          </w:tcPr>
          <w:p>
            <w:pPr>
              <w:spacing w:after="0"/>
              <w:rPr>
                <w:sz w:val="20"/>
                <w:szCs w:val="20"/>
                <w:color w:val="auto"/>
              </w:rPr>
            </w:pPr>
          </w:p>
        </w:tc>
        <w:tc>
          <w:tcPr>
            <w:tcW w:w="30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80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r>
      <w:tr>
        <w:trPr>
          <w:trHeight w:val="209"/>
        </w:trPr>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3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r>
      <w:tr>
        <w:trPr>
          <w:trHeight w:val="230"/>
        </w:trPr>
        <w:tc>
          <w:tcPr>
            <w:tcW w:w="8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3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3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shd w:val="clear" w:color="auto" w:fill="CCEEFF"/>
          </w:tcPr>
          <w:p>
            <w:pPr>
              <w:spacing w:after="0"/>
              <w:rPr>
                <w:sz w:val="19"/>
                <w:szCs w:val="19"/>
                <w:color w:val="auto"/>
              </w:rPr>
            </w:pPr>
          </w:p>
        </w:tc>
      </w:tr>
      <w:tr>
        <w:trPr>
          <w:trHeight w:val="223"/>
        </w:trPr>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9"/>
                <w:szCs w:val="19"/>
                <w:color w:val="auto"/>
              </w:rPr>
            </w:pPr>
          </w:p>
        </w:tc>
        <w:tc>
          <w:tcPr>
            <w:tcW w:w="3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tcPr>
          <w:p>
            <w:pPr>
              <w:spacing w:after="0"/>
              <w:rPr>
                <w:sz w:val="19"/>
                <w:szCs w:val="19"/>
                <w:color w:val="auto"/>
              </w:rPr>
            </w:pPr>
          </w:p>
        </w:tc>
        <w:tc>
          <w:tcPr>
            <w:tcW w:w="3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there were 300,000 unvested RSAs remaining from grants in a prior year. Those 300,000 RSAs will vest as follows: 125,000 RSA stock awards will vest contingent upon the attainment of a stock price of $2.00 per share for 20 straight trading days, and an additional 175,000 RSAs will vest contingent upon the attainment of a stock price of $3.00 per share for 20 straight trading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in place Executive Stock Plans for its executive team. See Note 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shares are granted under the Company’s Executive Stock Plans, the Company withholds the number of shares required to satisfy income tax withholding requirements on the award, calculated at the market value of the Company’s stock on the date the award is granted.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charged the amount of $404,804 to operations in connection with the Executive Stock Plans. See Note 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there were a total of 1,450,314 shares of common stock which have vested and are issuable pursuant to the Executive Stock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leases in accordance with FASB ASC 842, “Leases”. The Company determines if an arrangement is a lease at inception. Operating and Finance lease right-of-use (“ROU”) assets and current and noncurrent lease liabilities are included on the face of the consolidated balance sheet.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For finance leases, the Company recognizes the amortization of the ROU asset over the shorter of the lease term or useful life of the underlying asset. Interest accretion on the finance lease liabilities is recorded as interest expense.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This update requires public business entities to annually disclose specific categories within the income tax rate reconciliation, and provide additional information for reconciling items that meet a certain quantitative threshold. Additionally, the amendments in this update require entities to disclose certain information about income taxes paid, income tax disaggregation, disclosures around unrecognized tax benefits, and the removal of disclosures related to temporary differences surrounding deferred tax liabilities to enhance the transparency and decision usefulness of income tax disclosures. This update is effective for fiscal years beginning after December 15, 2024 and early adoption is permitted. The Company adopted this update prospectively as of January 1, 2025 (see Note 22).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expensing of U.S. research expenditures and eligible capital expenditures, the permanent extension of certain expiring provisions of the Tax Cuts and Jobs Act, modifications to the international tax framework and the restoration of favorable tax treatment for certain business provisions. The impacts of the OBBBA are reflected in our results for the year ended December 31, 2025, and there was no impact to our income tax expense or effective income tax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 Not Yet Adopted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and interim periods within fiscal years beginning after December 15, 2027. Early adoption is permitted. The Company is evaluating the standard and its potential effect on its consolidated financial statements and segment disclosures.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FASB issued ASU 2025-05, which provides a practical expedient for estimating expected credit losses on short term receivables and contract assets from revenue transactions. The guidance permits a simplified loss rate approach based on historical write-off experience and current conditions. The Company is evaluating the standard and its potential effect on the allowance for credit losses and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REVISION OF PREVIOUSLY ISSUED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revised amounts reported in previously issued financial statements for the periods presented in this Annual Report on Form 10-K related to immaterial errors. The errors relate to certain costs directly related to the revenue generation and cost of goods sold. The costs were not properly categorized in prior periods, which led to an overstatement of revenue and a corresponding overstatement of cost of goods sold. There was no effect to consolidated net income (loss) in any of the revised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the aggregate effects of the errors to our previously issued financial statements in accordance with SEC Staff Accounting Bulletins No. 99 and No. 108 and, based upon quantitative and qualitative factors, determined that the errors were not material to the previously issued financial statements and disclosures included in our Annual Reports on Form 10-K for the year ended December 31, 2024 and for any quarterly periods included therein or through our Quarterly Report on Form 10-Q for the quarterly periods ended September 30, 2025, June 30, 2025, and March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effects of the aforementioned revisions on our consolidated statements of operations for the quarterly periods ended September 30, 2025, June 30, 2025, and March 31, 2025 and the year ended December 31, 2024 and for the quarterly periods included therein.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16,423,716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(684,948)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15,738,768</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49,247,466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12,567,437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(684,948)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11,882,489</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37,192,111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(1,906,863)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35,285,248</w:t>
            </w:r>
          </w:p>
        </w:tc>
      </w:tr>
      <w:tr>
        <w:trPr>
          <w:trHeight w:val="391"/>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21,103,134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(642,097)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20,461,037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40,651,700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(1,221,915)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39,429,785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16,669,281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(642,097)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16,027,184</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31,732,040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(1,221,915)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30,510,125</w:t>
            </w:r>
          </w:p>
        </w:tc>
      </w:tr>
      <w:tr>
        <w:trPr>
          <w:trHeight w:val="391"/>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7"/>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19,548,566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(579,818)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15,062,759</w:t>
            </w:r>
          </w:p>
        </w:tc>
        <w:tc>
          <w:tcPr>
            <w:tcW w:w="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(579,818)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14,482,941</w:t>
            </w:r>
          </w:p>
        </w:tc>
      </w:tr>
      <w:tr>
        <w:trPr>
          <w:trHeight w:val="405"/>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62,519,394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(3,070,967)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59,448,427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47,498,611</w:t>
            </w:r>
          </w:p>
        </w:tc>
        <w:tc>
          <w:tcPr>
            <w:tcW w:w="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(3,070,967)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44,427,644</w:t>
            </w:r>
          </w:p>
        </w:tc>
      </w:tr>
      <w:tr>
        <w:trPr>
          <w:trHeight w:val="391"/>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17,009,771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(767,608)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16,242,163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49,398,874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47,046,244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12,725,537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(767,608)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11,957,929</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37,312,903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(2,352,630)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34,960,273</w:t>
            </w:r>
          </w:p>
        </w:tc>
      </w:tr>
      <w:tr>
        <w:trPr>
          <w:trHeight w:val="391"/>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Pr>
          <w:p>
            <w:pPr>
              <w:spacing w:after="0"/>
              <w:rPr>
                <w:sz w:val="19"/>
                <w:szCs w:val="19"/>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16,658,990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7"/>
              </w:rPr>
              <w:t>(742,892)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15,916,098</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32,389,103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30,804,081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12,691,567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(742,892)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11,948,675</w:t>
            </w:r>
          </w:p>
        </w:tc>
        <w:tc>
          <w:tcPr>
            <w:tcW w:w="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24,587,366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(1,585,022)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23,002,344</w:t>
            </w:r>
          </w:p>
        </w:tc>
      </w:tr>
      <w:tr>
        <w:trPr>
          <w:trHeight w:val="391"/>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7"/>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100" w:type="dxa"/>
            <w:vAlign w:val="bottom"/>
          </w:tcPr>
          <w:p>
            <w:pPr>
              <w:spacing w:after="0"/>
              <w:rPr>
                <w:sz w:val="19"/>
                <w:szCs w:val="19"/>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15,730,113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14,887,983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11,895,799</w:t>
            </w:r>
          </w:p>
        </w:tc>
        <w:tc>
          <w:tcPr>
            <w:tcW w:w="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(842,130)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11,053,669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26, 2024, the Company completed the sale of its Haley subsidiary (see Note 5), and the activities of P Innovations (“Plantbelly”) were abandoned; and on October 8, 2024, the Company completed the sale of substantially all of the assets of Mouth. During the year ended December 31, 2024, the accounts of the following entities are included in net loss from discontinued operations: GROW, Oasis, Haley, P Innovations, and Mouth. The only remaining assets and liabilities on the Company’s balance sheet at December 31, 2024 related to discontinued operations is cash in the amount of $49,315 held by Mouth.</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2025, the Company committed to a strategic exit of its retail specialty cheese business, which served as the primary component of its national distribution platform. Accordingly, results for this business for all prior periods presented have been retrospectively reclassified to discontinued operations in accordance with ASC 205-20. In connection with this decision, the Company also elected to discontinue its related logistics operations and specialty cheese cutting activities, including igourmet, along with the Company’s logistics subsidiary (LII/IFP). During the year ended December 31, 2025, the accounts of the following entities are included in net loss from discontinued operations and in the discontinued operations sections of our balance sheet: IFP, LII, and the activity of igourmet directly related to our cheese business.</w:t>
      </w:r>
    </w:p>
    <w:p>
      <w:pPr>
        <w:sectPr>
          <w:pgSz w:w="11900" w:h="16838" w:orient="portrait"/>
          <w:cols w:equalWidth="0" w:num="1">
            <w:col w:w="11240"/>
          </w:cols>
          <w:pgMar w:left="320" w:top="229" w:right="339" w:bottom="216"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216"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the operating results and related assets and liabilities of the retail specialty cheese business, including igourmet, along with the Company’s logistics subsidiary (LII / IFP) and specialty cheese cutting operations, have been reclassified to discontinued operations for all periods presented.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 of assets and liabilities included as part of discontinued operations in the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42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 discontinued operations: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196,672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3,180,188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2,782,000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6,144,793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5,941,933</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 - discontinued operations</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6,426,492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 discontinued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ROU assets – financing leases, net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215,509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440,925</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313,067</w:t>
            </w: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 - discontinued operations</w:t>
            </w: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215,509</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753,992</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 discontinued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40,884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2,217,580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72,481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87,278</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8,430,656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107,861</w:t>
            </w: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 - discontinued operations</w:t>
            </w: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8,877,624</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2,834,800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 discontinued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8,409,881</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 - discontinued operations</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8,409,881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the after-tax loss from discontinued operations in the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8680" w:type="dxa"/>
            <w:vAlign w:val="bottom"/>
          </w:tcPr>
          <w:p>
            <w:pPr>
              <w:spacing w:after="0"/>
              <w:rPr>
                <w:sz w:val="17"/>
                <w:szCs w:val="17"/>
                <w:color w:val="auto"/>
              </w:rPr>
            </w:pPr>
          </w:p>
        </w:tc>
        <w:tc>
          <w:tcPr>
            <w:tcW w:w="1340" w:type="dxa"/>
            <w:vAlign w:val="bottom"/>
            <w:gridSpan w:val="2"/>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r>
      <w:tr>
        <w:trPr>
          <w:trHeight w:val="238"/>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10,061,776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9,924,585</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11,057,349</w:t>
            </w:r>
          </w:p>
        </w:tc>
        <w:tc>
          <w:tcPr>
            <w:tcW w:w="36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8,039,204</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(995,573)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1,885,381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2,680,924</w:t>
      </w:r>
      <w:r>
        <w:rPr>
          <w:sz w:val="20"/>
          <w:szCs w:val="20"/>
          <w:color w:val="auto"/>
        </w:rPr>
        <w:tab/>
      </w:r>
      <w:r>
        <w:rPr>
          <w:rFonts w:ascii="Times New Roman" w:cs="Times New Roman" w:eastAsia="Times New Roman" w:hAnsi="Times New Roman"/>
          <w:sz w:val="18"/>
          <w:szCs w:val="18"/>
          <w:color w:val="auto"/>
        </w:rPr>
        <w:t>2,695,273</w:t>
      </w:r>
    </w:p>
    <w:p>
      <w:pPr>
        <w:spacing w:after="0" w:line="27"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915,862</w:t>
      </w:r>
      <w:r>
        <w:rPr>
          <w:sz w:val="20"/>
          <w:szCs w:val="20"/>
          <w:color w:val="auto"/>
        </w:rPr>
        <w:tab/>
      </w:r>
      <w:r>
        <w:rPr>
          <w:rFonts w:ascii="Times New Roman" w:cs="Times New Roman" w:eastAsia="Times New Roman" w:hAnsi="Times New Roman"/>
          <w:sz w:val="18"/>
          <w:szCs w:val="18"/>
          <w:color w:val="auto"/>
        </w:rPr>
        <w:t>730,036</w:t>
      </w:r>
    </w:p>
    <w:p>
      <w:pPr>
        <w:spacing w:after="0" w:line="31" w:lineRule="exact"/>
        <w:rPr>
          <w:sz w:val="20"/>
          <w:szCs w:val="20"/>
          <w:color w:val="auto"/>
        </w:rPr>
      </w:pPr>
    </w:p>
    <w:p>
      <w:pPr>
        <w:spacing w:after="0"/>
        <w:tabs>
          <w:tab w:leader="none" w:pos="320" w:val="left"/>
          <w:tab w:leader="none" w:pos="1320" w:val="left"/>
          <w:tab w:leader="none" w:pos="166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(4,592,359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w:t>
        <w:tab/>
        <w:t>(1,539,928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5601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presents the major classes of line items constituting significant operating, investing and financing cash flow activities in the consolidated statements of cash flow relating to discontinued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cash</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adjustment associated with facility closure</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1,486,893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106,591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834,463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2,983,516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(3,170,397)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net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1,295,107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(2,771,015)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(2,176,696)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(1,965,888)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purchase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(101,977)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(199,838)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received from disposition of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(87,278)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(114,359)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financing lease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(85,536)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2024, the Company sold its property located at 28411 Race Track Road, Bonita Springs, Florida, for net cash proceeds of $2,101,185, net of the payoff of principal and interest in the amount of $356,215 on Maple Mark Term Loan 2. A gain in the amount of $1,807,516 was recorded on this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2024, the Company sold certain intangible assets of igourmet including but not limited to copyrights, trademarks, tradenames, and customer lists for net cash proceeds of $617,000. The buyer also assumed certain liabilities in the net amount of $309,463. A gain in the amount of $834,463 was recorded on this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8, 2024, we sold substantially all of the assets of Mouth including copyrights, trademarks, tradenames, and customer lists; these assets were fully amortized at the time of the sale. In addition, the buyer assumed the liability for deferred revenue in the amount of $174,637. A gain in the amount of $174,637 was recorded on this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SALE OF SUBSIDIARY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Haley had no assets or liabilities at the time of the sale. The Company valued the 21,126 shares of common stock at the market price on the date of the acquisition of $1.00 per share and recorded a gain in the amount of $21,126 on this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Golden Organics, Inc.</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14, 2024, the Company entered into an asset purchase agreement (the “GO APA”) with Golden Organics, Inc., a wholesaler of bulk organic and other related food products. Pursuant to the GO APA, the Company acquired substantially all the properties, business, and assets of Golden Organics, Inc. for an aggregate purchase price of $1,580,000, subject to net accounts receivable and accounts payable adjustments. The Company accounted for the GO APA pursuant to the guidance of ASC 805 – Accounting for Business Combinations (“ASC 805”). The $1,580,000 purchase price consisted of a cash payment of $1,230,000 at closing and a promissory note in the amount of $350,000 bearing interest at the rate of 6% per annum and payable in 60 equal monthly installments. At December 31, 2024, the Company had made cash payments in the aggregate amount of $1,231,379 on the GO APA and recorded ROU operating assets and liabilities of $731,566; intangible assets of $198,593; property and equipment of $131,250; accounts receivable of $611,132; inventory of $1,102,536, and other current assets of $84,000; accounts payable of $546,132; and note payable of $350,000.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LoCo Foods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20, 2024, the Company through its subsidiary, Golden Organics, Inc., entered into an asset purchase agreement (the “LoCo APA”) with LoCo Food Distribution LLC, a Colorado limited liability company (“LoCo”), a wholesaler of food related products, and Elizabeth G. Mozer and Benjamin Mozer (each an “Owner,” collectively, the “Owners” and together with LoCo, collectively, the “Seller Parties”). The Company accounted for the LoCo APA pursuant to the guidance of ASC 805. Pursuant to the LoCo APA, the Company acquired substantially all of LoCo’s properties, business, and assets used and/or useful in the operation of LoCo’s business of sourcing and wholesaling food products, and agreed to assume certain liabilities of LoCo for an aggregate purchase price of $304,269, which is payable to LoCo’s lenders for all outstanding and unpaid indebtedness of LoCo. The Company also entered into an earnout agreement with LoCo in the amount of $54,430, payable by Golden Organics to the Owners based upon twelve month revenue and earnings targets. At December 31, 2024, the Company had recorded the following assets and liabilities pursuant to the LoCo APA: Cash received of $42,000; intangible assets of $232,972; property and equipment of $252,000; accounts payable and accrued liabilities of $1,008,590; and contingent liability payable of $54,430. During the year ended December 31, 2025, the Company released the liability as the targets were not met.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ACCOUNTS RECEIVABLE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2025 and 2024, accounts receivable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from customers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5,902,447</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(218,319)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(40,002)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5,300,190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5,862,445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charged the amount of $106,010 and $4,599, respectively, to bad debt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specialty food products. At December 31, 2025 and 2024, inventory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CCEEFF"/>
            </w:tcBorders>
          </w:tcPr>
          <w:p>
            <w:pPr>
              <w:spacing w:after="0"/>
              <w:rPr>
                <w:sz w:val="20"/>
                <w:szCs w:val="20"/>
                <w:color w:val="auto"/>
              </w:rPr>
            </w:pPr>
          </w:p>
        </w:tc>
        <w:tc>
          <w:tcPr>
            <w:tcW w:w="50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50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3,473,604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3,508,488</w:t>
            </w:r>
          </w:p>
        </w:tc>
        <w:tc>
          <w:tcPr>
            <w:tcW w:w="100" w:type="dxa"/>
            <w:vAlign w:val="bottom"/>
            <w:shd w:val="clear" w:color="auto" w:fill="CCEEFF"/>
          </w:tcPr>
          <w:p>
            <w:pPr>
              <w:spacing w:after="0"/>
              <w:rPr>
                <w:sz w:val="18"/>
                <w:szCs w:val="18"/>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F-16</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property and equipment at December 31, 2025 and 2024 is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208,140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208,140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951,101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833,712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218,439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451,432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449,186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694,715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694,843</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286,509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286,509</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2,854,666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(1,581,356)</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(1,419,018)</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and equipment amounted to $167,413 and $173,021 for the years ended December 31, 2025 and 2024, respectively, which is recorded in selling, general and administrating expenses on the Company’s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AND EQUIPMENT CLASSIFIED AS HELD FOR SALE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classified the land and building located at 220 Oak Hill Road, Mountain Top, Pennsylvania, as held for sale. During the year ended December 31, 2025, the Company classified certain leasehold improvements at the Mountain Top property as held for sale. The net book value of these assets consisted of the following at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871,372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871,372</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5,070,561</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5,070,561</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6,144,793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5,941,933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RIGHT OF USE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expense for the years ended December 31, 2025 and 2024 was entirely comprised of operating leases and amounted to $280,616 and $62,686, respectively. The Company’s ROU asset amortization for the years ended December 31, 2025 and 2024 was $253,041 and $54,609, respectively. The difference between the lease expense and the associated ROU asset amortization consists of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discount rate of the operating leases was 7.00% and 7.00% at December 31, 2025 and 2024, respectively. The lease rates were estimated based upon the Company’s incremental borrowing rate at the time of the inception of the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lease term of the operating leases was 2.16 years and 2.85 years at December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 are summarized below: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411,060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565,931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419,168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567,684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(285,534)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(239,660)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 for the year ended December 31: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313,062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34,950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8,736</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(37,415)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an increase in the right of use asset and operating lease liability in the amount of $59,954 on the building lease associated with the acquisition of Golden Organics.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an operating lease of a building in the amount of $599,116 and an operating lease of vehicles in the amount of $132,451 in connection with the acquisition of Golden Organics.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RIGHT OF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Right of use asset – financing leases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404,858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214,405</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4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200,097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604,955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(399,615)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(131,057)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205,340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on right of use assets for the years ended December 31, 2025 and 2024 was $31,637 and $92,870, respectively. During the year ended December 31, 2024, the Company recorded right of use assets and lease liabilities in the amount of $180,740 related to warehouse equipment. There were no additions to right of use assets and lease liabilities – financing leases during the year ended December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of the financing leases was 5.77% and 5.83% at December 31, 2025 and 2024, respectively. The lease rates were estimated based upon the Company’s incremental borrowing rate at the time of the inception of the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lease term of the financing leases was 2. years and 2.80 years December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liabilities are summarized below: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March 31, 2020 in the original amount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$152,548 payable in eighty-four monthly installments of $2,188 including interest at the rate of 5.44%. During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2025, the Company made principal and interest payments on this lease obligation in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of $23,933 and $2,324, respectively. During the year ended December 31, 2024, the Company made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 of $22,669 and $3,588, respectively.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53,549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a truck dated August 23, 2019 in the original amount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$80,413 payable in eighty-four monthly installments of $1,148 including interest at the rate of 5.0%. During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2025, the Company made principal and interest payments on this lease obligation in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of $13,025 and $751, respectively. During the year ended December 31, 2024, the Company made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 of $12,293 and $1,385, respectively.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 obligation under a lease agreement for warehouse equipment dated September 12, 2024 in the original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$180,740 payable in sixty monthly payments in the minimum amount of $2,846 including interest at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of 6.01%. The amount of the monthly payments is based upon the amount of supplies and materials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purchases from the lessor each month. During the year ended December 31, 2025, the Company made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amounts of $64,030 and $1,580, respectively,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interest in the amount of $2,845. During the year ended December 31, 2024, the Company made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and interest payments on this lease obligation in the amounts of $55,108 and $2,154, respectively.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64,029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125,632</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60,519</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maturities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52,683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139,591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 maturities of lease liabilities – financing leases as of December 31, 2025 are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48,866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INTANGIBLE ASSETS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of Artisan and Golden Organics. These assets include trade names and customer lists.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other amortizable intangible assets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1"/>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amortization expense for the years ended December 31, 2025 and 2024 was $86,313 and $7,193, respectively.</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Remaining amortization expense for intangible assets as of December 31, 2025 is as follows: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86,313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79,120</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Indefinite-lived intangible assets consist of Trade Names in the amount of $217,000 held by Artisan.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2025 and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48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2,956,240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4,087,343</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commissions</w:t>
            </w: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79,559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348,699</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3,035,799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4,436,042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4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jc w:val="right"/>
              <w:ind w:right="3033"/>
              <w:spacing w:after="0"/>
              <w:rPr>
                <w:sz w:val="20"/>
                <w:szCs w:val="20"/>
                <w:color w:val="auto"/>
              </w:rPr>
            </w:pPr>
            <w:r>
              <w:rPr>
                <w:rFonts w:ascii="Times New Roman" w:cs="Times New Roman" w:eastAsia="Times New Roman" w:hAnsi="Times New Roman"/>
                <w:sz w:val="18"/>
                <w:szCs w:val="18"/>
                <w:color w:val="auto"/>
              </w:rPr>
              <w:t>F-20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ACCRUED SEPARATION COSTS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3, 2023, the Company entered into a Severance Note, an Agreement and General Release, and a Side Letter thereto (the “SK Agreements”) with Sam Klepfish its prior CEO and a previous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and was released to Mr. Klepfish on his separation date. The $1,000,000 portion is in the form of an unsecured, non interest-bearing note payable to Mr. Klepfish. The SK Agreements also call for the delivery of 400,000 shares of the Company’s common stock valued at $168,000 based upon the closing price of the Company’s common stock on Mr. Klepfish’s separation date of February 28, 2023, which were delivered to Mr. Klepfish on April 26, 2023; in addition, for delivery on June 1, 2027 of additional shares of the Company’s common stock equal to the greater of (i) the number of shares with an aggregate fair market value of $400,000 on such date, or (ii) 266,666 shares. The Company also agreed to pay a total of $1,199 of Consolidated Omnibus Reconciliation Act (“COBRA”) insurance costs on behalf of Mr. Klepfish over eighteen months. The total amount accrued in connection with the SK Agreements was $1,819,199.</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2024, the Company entered into a separation agreement with Richard Tang, its Chief Financial Officer (the “Tang Separation Agreement”) effective as of December 31, 2023. Pursuant to the Tang Separation Agreement, the Company will pay to Mr. Tang, in equal installments over a five-month period, the gross sum of $113,918. In addition, Mr. Tang may submit for reimbursement up to $4,000 of legal expenses connected with the review of this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Mr. Tang timely elects to continue his group health insurance benefits under the Consolidated Omnibus Reconciliation Act (“COBRA”), the Company will reimburse Mr. Tang’s group health insurance premiums (“COBRA Premiums”) for the lesser of: (a) the period of time Employee is eligible to continue his group health insurance benefits under COBRA and (b) the five-month period immediately following the Separation Date. Reimbursements will be paid within thirty days of when Mr. Tang submits a request for reimbursement and supporting documentation.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(the “Bennett Separation Agreement”) with Bill Bennett, pursuant to which Mr. Bennett will resign from his position as the Chief Executive Officer of the Company, effective October 3, 2025. Pursuant to the Bennett Separation Agreement, the Company shall (i) pay Mr. Bennett severance payments consisting of salary continuation and bonus payable through December 31, 2025, in the total gross amount of $115,501, payable in installments on the Company’s regular payroll dates; and (ii) reimbursement of Mr. Bennett’s group health insurance premiums for the period from November 1, 2025 through September 30, 2026 in the total gross amount of $31,515. During the year ended December 31, 2025, the Company paid cash in the amount of $115,501 and Cobra payments in the amount of $9,322 under the Bennett Separation Agreement.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paid cash in the amount of $332,165 and $333,333, respectively, to Mr. Klepfish in connection with the SK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made the following payments in connection with the Wiernasz Separation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Cobra payments on behalf of Mr. Wiernasz in the amount of $0 and $967,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made the following payments in connection with the Tang Separation Agreement: The Company made cash payments to Mr. Tang in the amount of $0 and $113,918, respectively, and Cobra payments on behalf of Mr. Tang in the amount of $0 and $14,495,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amounts accrued, paid, and outstanding on these agreements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Mr. Klepfish:</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Paid / Issued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through March 6,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(941,140)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58,860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 upon agreement execution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 June 1, 2027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 Issued in April 2023</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168,000</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(168,000)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over eighteen months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1,199</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 Mr. Klepfish</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1,819,199</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(1,359,140)</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460,059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60,059</w:t>
            </w:r>
          </w:p>
        </w:tc>
        <w:tc>
          <w:tcPr>
            <w:tcW w:w="22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Mr. Tang: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over seventeen weeks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113,918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(113,918)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Cobra – over five months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14,495</w:t>
            </w:r>
          </w:p>
        </w:tc>
        <w:tc>
          <w:tcPr>
            <w:tcW w:w="22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(14,495)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 Mr. Tang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Bennett: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 installments through December 31, 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142,485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(110,170)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 installments through September 30, 2026</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31,515</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(14,653)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 Mr. Bennett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(124,823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49,177</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2,121,612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(1,612,376)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509,236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STOCK APPRECIATION RIGHTS LIABILITY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December 31, 2025, the Smallwood SARs had a fair value of $16,143; the decrease in fair value in the amount of $1,337,007 was charged to selling, general and administrative expenses on the Company’s statement of operations during the year ended 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valuation of the Smallwood SARs is summarized in the table below:</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SAR Liability</w:t>
            </w: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2023 -fair value</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1,098,130</w:t>
            </w:r>
          </w:p>
        </w:tc>
        <w:tc>
          <w:tcPr>
            <w:tcW w:w="0" w:type="dxa"/>
            <w:vAlign w:val="bottom"/>
          </w:tcPr>
          <w:p>
            <w:pPr>
              <w:spacing w:after="0"/>
              <w:rPr>
                <w:sz w:val="1"/>
                <w:szCs w:val="1"/>
                <w:color w:val="auto"/>
              </w:rPr>
            </w:pPr>
          </w:p>
        </w:tc>
      </w:tr>
      <w:tr>
        <w:trPr>
          <w:trHeight w:val="209"/>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2024 - fair value</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revaluation</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(1,337,007)</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 fair value</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assumption were utilized in the valuation of the Smallwood SARs:</w:t>
            </w: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00" w:type="dxa"/>
            <w:vAlign w:val="bottom"/>
          </w:tcPr>
          <w:p>
            <w:pPr>
              <w:spacing w:after="0"/>
              <w:rPr>
                <w:sz w:val="24"/>
                <w:szCs w:val="24"/>
                <w:color w:val="auto"/>
              </w:rPr>
            </w:pPr>
          </w:p>
        </w:tc>
        <w:tc>
          <w:tcPr>
            <w:tcW w:w="26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Black-Scholes model variables: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77.84-205.63%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86.58-131.55%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3.48-4.10%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3.66-4.71%</w:t>
            </w: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1.00-2.00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price of the Company’s common stock on the date of the grant of the SARs was $0.41. The exercise prices at the date of the grant were $1.50 and $2.00.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LINE OF CREDIT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 June 6, 2022, the Company entered into a revolving credit facility with MapleMark (the “MapleMark Revolver”)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which expired on August 25, 2025. The amount available under the MapleMark Revolver was $1,500,000. Principal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interest payments due under the MapleMark Revolver were payable monthly. Amounts due under the MapleMark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bore interest at the greater of (a) the Base Rate (the rate of interest per annum quoted in the “Money Rates”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of The Wall Street Journal from time to time and designated as the “Prime Rate”) plus 0.25% per annum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5.50% per annum.</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41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borrowed the amount of $500,000 under the MapleMark</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 and repaid the amount of $500,000. During the year ended December 31, 2025, the Company paid interest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amount of $1,804 on the MapleMark Revolver. During the year ended December 31, 2024, the Company did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draw on the MapleMark Revolved and no interest was incurred.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NOTES PAYABLE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$20,000. The note was due in January 2006 and the Company accrued interest on this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at 1.9% through September 30, 2025. During the years ended December 31, 2025 and 2024, the Company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this note in the amount of $288 and $378, respectively. December 31, 2024, accrued interest 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this note was $18,860. At September 30, 2025, this note had been outstanding without any claim or correspondence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an extended duration. After consideration of all available information, the Company concluded that the obligation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 no longer required to be recognized. Accordingly, the liability was derecognized and a gain in the amount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$39,154 was recorded during the year ended December 31, 2025. At September 30, 2025, this note had been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without any claim or correspondence for an extended duration. After consideration of all available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the Company concluded that the obligation is no longer required to be recognized. Accordingly, the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was derecognized and a gain in the amount of $39,154 was recorded during the year ended December 31,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note payable in the amount of $350,000 issued in connection with the GO Acquisition (the “GO Note”). The GO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is payable in 60 equal monthly instalments of $6,766 and bears interest at the rate of 6.0%. During the year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December 31, 2025, the Company made interest payments on the GO note in the amount of $20,138. During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8"/>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year ended December 31, 2025, the Company made principal payments on the GO note in the amount of $62,011.</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282,973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344,984</w:t>
            </w:r>
          </w:p>
        </w:tc>
        <w:tc>
          <w:tcPr>
            <w:tcW w:w="80" w:type="dxa"/>
            <w:vAlign w:val="bottom"/>
            <w:shd w:val="clear" w:color="auto" w:fill="CCEEFF"/>
          </w:tcPr>
          <w:p>
            <w:pPr>
              <w:spacing w:after="0"/>
              <w:rPr>
                <w:sz w:val="21"/>
                <w:szCs w:val="21"/>
                <w:color w:val="auto"/>
              </w:rPr>
            </w:pPr>
          </w:p>
        </w:tc>
      </w:tr>
      <w:tr>
        <w:trPr>
          <w:trHeight w:val="263"/>
        </w:trPr>
        <w:tc>
          <w:tcPr>
            <w:tcW w:w="8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282,973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364,984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1280" w:type="dxa"/>
            <w:vAlign w:val="bottom"/>
            <w:shd w:val="clear" w:color="auto" w:fill="CCEEFF"/>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66,026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82,191</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maturities, net of 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216,947</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282,793</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282,973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on notes payable was $0 and $91,347 at December 31,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maturities of notes payable as of December 31, 2025 are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ended December 31,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7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66,026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70,099</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74,422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72,426</w:t>
            </w:r>
          </w:p>
        </w:tc>
      </w:tr>
      <w:tr>
        <w:trPr>
          <w:trHeight w:val="22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total number of shares of common stock issued and outstanding was 57,493,776 and 54,649,479, respectively. As of December 31, 2024, total number of shares of common stock issued and outstanding was 56,009,032 and 53,164,735, respectively. At December 31, 2025 and 2024, a total of 2,844,297 shares of common stock were deemed issued but not outstanding. At December 31, 2025 and 2024, an additional 0 and 738,032 shares, respectively, were classified as common stock to be issued. These shares represent shares of common stock vested under the Company’s Executive Stock Plans, and are in the process of being administratively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the following shares of common stock to its executive officers pursuant to executive compensation plans: 530,665 shares were issued to its Bill Bennett, predecessor CEO; 133,632 shares were issued to Brady Smallwood, COO; and 73,735 shares were issued to its Gary Schubert, successor CEO, pursuant to the Prior CFO Stock Plan. These shares were classified as shares to be issued on the Company’s balance sheet at December 31, 2024. There was no gain or loss recorded on this transaction.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 2025, the Company issued 273,026 shares of common stock to Bill Bennett, predecessor CEO pursuant to an executive compensation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gain or loss recorded on this transaction.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the Company issued 92,168 shares of common stock to Gary Schubert, successor CEO pursuant to the Prior CFO Stock Plan. There was no gain or loss recorded on this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 2025, the Company issued 82,952 shares of common stock to Brady Smallwood, COO pursuant to an executive compensation plan. There was no gain or loss recorded on this transaction.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December 31, 2025, the Company issued 214,530 shares of common stock to Bill Bennett, its predecessor CEO pursuant to an executive compensation plan. There was no gain or loss recorded on this transaction.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2025, the Company reduced the number of shares to be issued by 136,205 due to a reduction in the estimate in the number of shares to be withheld for the payment of income taxes pursuant to the Executive Stock Plans. Of this amount, 64,518 were due to Brady Smallwood under the COO Stock Plan, and 71,687 were due to Gary Schubert under the Prior CFO Stock Plan. There were no remaining shares to be issued as of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the Company sold 100% of the equity interests in Haley for the return of 21,126 shares of the Company’s common stock held by the buyer (see Note 5). Haley had no assets or liabilities at the time of the sale; the Company valued the 21,126 shares of common stock at the market price on the date of the acquisition of $1.00 per share and recorded a gain in the amount of $21,126 on this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2024, the Company issued a net amount of 24,138 shares of common stock pursuant to the cashless exercise of 50,000 options by a previous CFO at an exercise price of $0.60 per shares. There was no gain or loss on this transaction because the shares were issued at the fair value of $1.16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2024, the Company issued a total of 1,415,544 shares of common stock pursuant to the Company’s Executive Stock Plans. These shares were recorded at the aggregate par value of $142; there was no gain or loss recorded on these transactions as the shares were issued pursuant to the terms of the compensation plans.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29, 2024, pursuant to a private placement, the Company sold 1,906,250 shares of common stock and on December 4, 2024 the Company sold an additional 125,000 shares of common stock (a total of 2,031,250 shares) at a price of $1.60 per share for total proceeds of $3,250,000.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2024, the Company issued the following shares pursuant to Executive Stock Plans: 517,429 shares of common stock were issued to its predecessor CEO, net of 455,991 shares withheld for the payment of taxes in the amount of $664,431; 133,631 shares of common stock were issued to Mr. Smallwood, net of 112,151 shares withheld for the payment of taxes in the amount of $163,763; and 73,735 shares were issued to its successor CEO pursuant to the Prior CFO Stock Plan, net of 57,350 shares withheld for the payment of taxes in the amount of $80,290.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15, 2024, the Company issued 150,000 shares of common stock to a previous director for options previously exercised. These shares were recorded as issued on the Company’s balance sheet effective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May 15, 2023, the Company issued 1,500,000 stock appreciation rights (the “Smallwood SARs”) to Brady Smallwood, its Chief Operating Officer. The Smallwood SARs vest upon issuance, and expire on December 31, 2026; 750,000 of the Smallwood SARs are priced at $1.50 per share, and 750,000 are priced at $2.00 per share. It is the Company’s intention to settle the Smallwood SARs in cash. The Smallwood SARs were valued utilizing the Black-Scholes valuation model, and had an aggregate fair value of $9,794 upon issuance. This amount was charged to non-cash compensation and credited to a current liability on the Company’s balance sheet. The Smallwood SARs will be revalued each reporting period and any change in value will be charged to compensation expense. At December 31, 2024, the Smallwood SARs had a fair value of $1,353,150; the increase in value during the year ended December 31, 2024 in the amount of $1,098,130 was charged to compensation expense. At December 31, 2025, the Smallwood SARs had a fair value of $16,143; the decrease in fair value in the amount $1,337,007 was charged to non-cash compensation during the year ended December 31, 2025. See Note 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Stock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Predecessor CEO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3, 2023, the Company entered into an employment agreement with Bill Bennett to become the Company’s then CEO. Pursuant to this agreement, Mr. Bennett was provided with an incentive compensation plan (the “Predecessor CEO Stock Plan”) whereby Mr. Bennett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00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30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731,350</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487,567</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365,675</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365,675</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c>
          <w:tcPr>
            <w:tcW w:w="0" w:type="dxa"/>
            <w:vAlign w:val="bottom"/>
          </w:tcPr>
          <w:p>
            <w:pPr>
              <w:spacing w:after="0"/>
              <w:rPr>
                <w:sz w:val="1"/>
                <w:szCs w:val="1"/>
                <w:color w:val="auto"/>
              </w:rPr>
            </w:pPr>
          </w:p>
        </w:tc>
      </w:tr>
      <w:tr>
        <w:trPr>
          <w:trHeight w:val="234"/>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243,783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Predecessor CEO Stock Plan had a fair value of $660,541 at inception (see “Stock Plan Valuation” section below). This amount is being amortized over the 34-month life of the plan. During the years ended December 31, 2025 and 2024, $232,361 and $233,132 of this amount was charged to operations,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price targets of $0.80, $1.00, $1.20, $1.40, and $1.60 were achieved, and Mr. Bennett became eligible to receive an additional total of 2,194,050 shares. A total of 1,218,917 shares were issued to Mr. Bennett, and an additional 530,665 shares were recorded as to be issued to Mr. Bennett, net of 444,468 shares withheld for taxes; at December 31, 2024, 487,566 shares were unearned.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price targets of $1.80 and $2.00 were achieved, and Mr. Bennett became eligible to receive an additional total of 487,566 shares. A total of 1,018,231 shares were issued to Mr. Bennett, net of 444,468 shares withheld for taxes; at December 31, 2025, there are no further shares due to Mr. Bennett pursuant to the Predecessor CEO Stock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with Mr. Bennett, pursuant to which Mr. Bennett resigned from his position as the Chief Executive Officer of the Company effective October 1, 2025. During the year ended December 31, 2025, the Company charged the unamortized portion of the value of the Predecessor CEO Stock Plan in the amount of $115,795 to compensation expense and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shares unvested under the Predecessor CEO Stock Plan at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00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30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147,470</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34"/>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COO Stock Plan had a fair value of $199,951 at inception (see “Stock Plan Valuation” section below). This amount is being amortized over the 31.5-month life of the plan. During the years ended December 31, 2025 and 2024, $76,172 and $76,172 of this amount was charged to operations,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price targets of $0.87, $1.16, and $1.45 were achieved, and Mr. Smallwood became eligible to receive a total of 442,410 shares. During the year ended December 31, 2024, a total of 196,627 shares were issued to Mr. Smallwood, and 245,783 shares were recorded as to be issued.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price targets of $1.74 and $2.03 were achieved, and Mr. Smallwood became eligible to receive an additional 147,470 shares. During the year ended December 31, 2025, a total of 225,811 shares were issued to Mr. Smallwood, net of 176,669 shares withheld for taxes. At December31, 2025, a total of 147,471 shares remain unvested under the COO Stock Plan. There are no shares due to Mr. Smallwood at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Successor CEO Stock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 2025, the Company entered into an employment agreement with Gary Schubert pursuant to which he will serve as the Company’s Chief Executive Officer (the “CEO Employment Agreement”). The CEO Employment Agreement provides for the grant of 1,350,000 shares of the Company (the “Successor CEO Stock Plan”) common stock, subject to a vesting schedule, no later than March 31, 2026. These shares had not been granted as of December 31, 2025. The CEO Employment Agreement and Successor CEO Stock Plan replaced Mr. Schubert’s executive compensation plan that was in place during his role as the Company’s CFO (the “Prior CFO Stock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CFO Stock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2023, the Company entered into an employment agreement with Gary Schubert to become the Company’s CFO effective January 1, 2024. Pursuant to this agreement, Mr. Schubert was provided with an incentive compensation plan (the “Prior CFO Stock Plan”) whereby Mr. Schubert would be granted shares of the Company’s common stock upon the common stock meeting certain price points at various 60-day volume weighted prices, as described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00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516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Number of Shares Granted - Lower of:</w:t>
            </w:r>
          </w:p>
        </w:tc>
        <w:tc>
          <w:tcPr>
            <w:tcW w:w="2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5160" w:type="dxa"/>
            <w:vAlign w:val="bottom"/>
            <w:gridSpan w:val="3"/>
          </w:tcPr>
          <w:p>
            <w:pPr>
              <w:jc w:val="center"/>
              <w:ind w:right="16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 Issued</w:t>
            </w:r>
          </w:p>
        </w:tc>
        <w:tc>
          <w:tcPr>
            <w:tcW w:w="2160" w:type="dxa"/>
            <w:vAlign w:val="bottom"/>
          </w:tcPr>
          <w:p>
            <w:pPr>
              <w:jc w:val="center"/>
              <w:ind w:right="1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30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16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and Outstanding on</w:t>
            </w:r>
          </w:p>
        </w:tc>
        <w:tc>
          <w:tcPr>
            <w:tcW w:w="22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8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2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 Date Multiplied by:</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98,313</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65,542</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49,157</w:t>
            </w:r>
          </w:p>
        </w:tc>
        <w:tc>
          <w:tcPr>
            <w:tcW w:w="0" w:type="dxa"/>
            <w:vAlign w:val="bottom"/>
          </w:tcPr>
          <w:p>
            <w:pPr>
              <w:spacing w:after="0"/>
              <w:rPr>
                <w:sz w:val="1"/>
                <w:szCs w:val="1"/>
                <w:color w:val="auto"/>
              </w:rPr>
            </w:pPr>
          </w:p>
        </w:tc>
      </w:t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c>
          <w:tcPr>
            <w:tcW w:w="0" w:type="dxa"/>
            <w:vAlign w:val="bottom"/>
          </w:tcPr>
          <w:p>
            <w:pPr>
              <w:spacing w:after="0"/>
              <w:rPr>
                <w:sz w:val="1"/>
                <w:szCs w:val="1"/>
                <w:color w:val="auto"/>
              </w:rPr>
            </w:pPr>
          </w:p>
        </w:tc>
      </w:tr>
      <w:tr>
        <w:trPr>
          <w:trHeight w:val="234"/>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tcPr>
          <w:p>
            <w:pPr>
              <w:spacing w:after="0"/>
              <w:rPr>
                <w:sz w:val="20"/>
                <w:szCs w:val="20"/>
                <w:color w:val="auto"/>
              </w:rPr>
            </w:pP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Prior CFO Stock Plan had a fair value of $238,747 at inception (see “Stock Plan Valuation” section below). This amount will be amortized over the 30-month life of the plan beginning January 1, 2024. During the year ended December 31, 2025 and 2024, $95,499 and $95,500 of this amount was charged to operations,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price targets of $1.23 and $1.63 were achieved, and Mr. Schubert became eligible to receive a total of 229,398 shares; 131,085 of these shares were approved for issuance and 98,313 were recorded as shares to be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price target of $2.04 was achieved, and Mr. Schubert became eligible to receive an additional 65,542 shares. During the year ended December 31, 2025, a total of 165,903 shares were issued to Mr. Schubert, net of 129,037 shares withheld for taxes. At December 31, 2025, a total of 196,627 shares remain unvested under the Prior CFO Stock Plan. There are no shares due to Mr. Schubert at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of Executive Stock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relied upon the guidance of Statement of Financial Account Standards No. 718 Compensation – Stock Compensation (“ASC 718”) in accounting for the Predecessor CEO Stock Plan, the COO Stock Plan, and the Prior CFO Stock Plan (collectively, the Executive Stock Plans). A Monte Carlo market-based performance stock awards model was used in valuing the Executive Stock Plans, with the following assumptions:</w:t>
      </w:r>
    </w:p>
    <w:p>
      <w:pPr>
        <w:spacing w:after="0" w:line="176"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for each trading day would fluctuate with an estimated projected volatility using a normal distribution. The stock price of the underlying instrument is modeled such that it follows a geometric Brownian motion with constant drift and volatility.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award the stock upon triggering the thresholds.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attrition or forfeiture rates (i.e., pre–vesting forfeiture assumption) are assumed to be zero given the Holder’s position with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Projected capital events were included in the adjustments to the shares issued and outstanding in the projected simulations.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Awards/Payouts were discounted at the risk–free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Stock Plans were not valued during the year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sectPr>
          <w:pgSz w:w="11900" w:h="16838" w:orient="portrait"/>
          <w:cols w:equalWidth="0" w:num="1">
            <w:col w:w="11240"/>
          </w:cols>
          <w:pgMar w:left="320" w:top="22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130,000 options with an exercise price of $1.25 per share and a grant date fair value of $20,847 to an employee. These options vested upon issuance and will expire on June 30,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130,000 options with an exercise price of $1.75 per share and a grant date fair value of $11,688 to an employee. These options vested upon issuance and will expire on June 30,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6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260,000</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(310,000)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December 31, 2025 and 2024 was $0 and $111,800, respectively. Aggregate intrinsic value represents the difference between the Company’s closing stock price on the last trading day of the fiscal period, which was $0.43 and $1.78 as of December 31, 2025 and 2024, respectively, and the exercise price multiplied by the number of options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charged $0 and $32,535, respectively, to operations related to recognized stock-based compensation expense for stock options.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exercise price at grant dates in relation to the market price during 2025 and 2024 are as follows: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100" w:type="dxa"/>
            <w:vAlign w:val="bottom"/>
            <w:tcBorders>
              <w:bottom w:val="single" w:sz="8" w:color="CCEEFF"/>
            </w:tcBorders>
          </w:tcPr>
          <w:p>
            <w:pPr>
              <w:spacing w:after="0"/>
              <w:rPr>
                <w:sz w:val="24"/>
                <w:szCs w:val="24"/>
                <w:color w:val="auto"/>
              </w:rPr>
            </w:pPr>
          </w:p>
        </w:tc>
        <w:tc>
          <w:tcPr>
            <w:tcW w:w="66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lower than market price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exceeded market price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1.25-1.75</w:t>
            </w:r>
          </w:p>
        </w:tc>
      </w:tr>
      <w:tr>
        <w:trPr>
          <w:trHeight w:val="43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and 2024, there were no non-vested options outstanding.</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for stock options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valued stock options using the Black-Scholes valuation model utilizing the following variables: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21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100" w:type="dxa"/>
            <w:vAlign w:val="bottom"/>
            <w:tcBorders>
              <w:bottom w:val="single" w:sz="8" w:color="CCEEFF"/>
            </w:tcBorders>
          </w:tcPr>
          <w:p>
            <w:pPr>
              <w:spacing w:after="0"/>
              <w:rPr>
                <w:sz w:val="20"/>
                <w:szCs w:val="20"/>
                <w:color w:val="auto"/>
              </w:rPr>
            </w:pPr>
          </w:p>
        </w:tc>
        <w:tc>
          <w:tcPr>
            <w:tcW w:w="66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69.96%</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(years)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has determined that the Company operates in one reportable segment: the delivery of specialty foods. This determination was made based upon the characteristics of our business and the information used by the CODM in order to monitor the business and allocate resources.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analysis of the Company’s segments is determined by the Chief Operating Decision Maker (“CODM”). The Company’s CODM is Gary Schubert, CEO.</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uses consolidated revenue, gross margin percentage and net income to monitor results. The CODM also uses revenue by category to monitor the growth of the business in each of our target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Channels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32,499,215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35,020,760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(2,521,545)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National distribution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12,926,000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12,337,767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588,233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Local distribution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15,252,951</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12,089,900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3,163,051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60,678,166</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59,448,427</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1,229,739</w:t>
            </w:r>
          </w:p>
        </w:tc>
        <w:tc>
          <w:tcPr>
            <w:tcW w:w="22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45,049,103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44,427,644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621,459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15,629,063</w:t>
            </w:r>
          </w:p>
        </w:tc>
        <w:tc>
          <w:tcPr>
            <w:tcW w:w="2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15,020,783</w:t>
            </w:r>
          </w:p>
        </w:tc>
        <w:tc>
          <w:tcPr>
            <w:tcW w:w="2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608,280</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OpEx:</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Payroll &amp; related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9,370,719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8,609,501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761,218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461,261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392,615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Office, facility, vehicles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1,385,106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614,653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770,453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527,020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607,872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146,664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198,741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31,409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3,957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Banking and credit card processing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10,785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1,405,306</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1,514,790</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(109,484)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13,343,922</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11,952,914</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1,391,008</w:t>
            </w:r>
          </w:p>
        </w:tc>
        <w:tc>
          <w:tcPr>
            <w:tcW w:w="22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OpEx:</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106,010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(932,975)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1,529,413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(2,462,388)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253,726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114,866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&amp;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222,752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146,821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(350,487)</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1,795,699</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(2,146,186)</w:t>
            </w:r>
          </w:p>
        </w:tc>
        <w:tc>
          <w:tcPr>
            <w:tcW w:w="220" w:type="dxa"/>
            <w:vAlign w:val="bottom"/>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30,306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(41,530)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subsidiaries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(21,126)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(2,816,616)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2,816,616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(2,512)</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(2,512)</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(2,879,272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2,907,066</w:t>
            </w:r>
          </w:p>
        </w:tc>
        <w:tc>
          <w:tcPr>
            <w:tcW w:w="2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80,787</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80,787</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continuing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2,527,047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4,151,442</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(1,624,395)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disclosures: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19,581,021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27,346,373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242,322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316,567</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Chief Executive Officer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 2025, the Company entered into the CEO Employment Agreement whereby Gary Schubert resigned from his current position of Chief Financial Officer of the Company and was appointed as the Chief Executive Officer of the Company and a member of the Company’s Board of Directors. Pursuant to the Schubert Agreement, Mr. Schubert is entitled to (i) an annual base salary of $400,000, beginning on January 1, 2026, subject to a 3% annual increase, (ii) a stock grant of 1,350,000 shares of common stock of the Company, subject to a vesting schedule, by March 31, 2026, and (iii) an annual cash incentive with a target (attainable upon achievement of certain performance goals) of not less than $137,500 with a cap of the lower of (a) $400,000 and (b) 8% of the Company’s adjusted free cash flow over the previous calendar year, beginning in calendar year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Resignation of Predecessor CEO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4, 2025, the Company entered into a separation agreement and general release (the “Separation Agreement”) with Bill Bennett, pursuant to which Mr. Bennett resigned from his position as the Chief Executive Officer and Board Member of the Company, effective October 3,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Separation Agreement, the Company shall (i) pay Mr. Bennett a severance payment in installments for a total gross amount of $115,501 for the period of October 4, 2025, through and including December 31, 2025, and (ii) reimburse Mr. Bennett for his group health insurance premiums for the period from November 1, 2025 through September 30, 2026, subject to the terms and conditions of the Separation Agreement. Mr. Bennett has agreed to provide consultancy services to the Company as a consultant and independent contractor from January 1, 2026 until March 31, 2026 for $25,000, which is to be paid in installments.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Payments to Prior Executive Officers under Separation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payments in connection with the SK Agreements: The Company paid cash in the amount of $332,165 to Mr. Klepfish.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the following payments in connection with the Bennett Separation Agreement: The Company paid cash in the amount of $124,823 to Mr. Bennett.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payments in connection with the SK Agreements: The Company paid cash in the amount of $333,333 to Mr. Klepfish.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the following payments in connection with the Wiernasz Separation Agreement: The Company made Cobra payments on behalf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Wiernasz in the amount of $967.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made the following payments in connection with the Tang Separation Agreement: The Company made cash payments to Mr. Tang in the amount of $113,918, and Cobra payments on behalf of Mr. Tang in the amount of $14,495.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22. INCOME TAXES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are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2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2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80,787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principal reasons for the difference between the effective income tax rate and the statutory federal income tax rate: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r>
      <w:tr>
        <w:trPr>
          <w:trHeight w:val="20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 (1)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63,823</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597,415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(313,131)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15.82%</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147,070</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80,787</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86" w:lineRule="exact"/>
        <w:rPr>
          <w:sz w:val="20"/>
          <w:szCs w:val="20"/>
          <w:color w:val="auto"/>
        </w:rPr>
      </w:pPr>
    </w:p>
    <w:p>
      <w:pPr>
        <w:ind w:left="5460" w:right="2220" w:hanging="5452"/>
        <w:spacing w:after="0" w:line="783" w:lineRule="auto"/>
        <w:tabs>
          <w:tab w:leader="none" w:pos="3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states that contribute to the majority (greater than 50%) of the tax effect in this category include California for 2025. 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to the adoption of ASU 2023-09, the provision (benefit) for income taxes differs from the amount of income tax determined by applying the applicable statutory income tax rate of 27.6% for the year ended December 31, 2024, to the loss before taxes as a result of the following differences: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0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2,611,514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Statutory tax rate, net</w:t>
            </w: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r>
      <w:tr>
        <w:trPr>
          <w:trHeight w:val="209"/>
        </w:trPr>
        <w:tc>
          <w:tcPr>
            <w:tcW w:w="9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(benefit) at statutory rate</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112,000</w:t>
            </w:r>
          </w:p>
        </w:tc>
      </w:tr>
      <w:tr>
        <w:trPr>
          <w:trHeight w:val="229"/>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(838,000)</w:t>
            </w:r>
          </w:p>
        </w:tc>
      </w:tr>
      <w:tr>
        <w:trPr>
          <w:trHeight w:val="223"/>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2025 was -4.08% and 0% in 2024. The decrease in the effective income tax rate was primarily due to nondeductible stock compensation expense and changes in the valuation allowance.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are as follows: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w:t>
            </w:r>
          </w:p>
        </w:tc>
        <w:tc>
          <w:tcPr>
            <w:tcW w:w="2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09"/>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23,358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476,000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4,863,473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3,875,000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330,934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inventory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269,625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282,000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422,000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25,216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w:t>
            </w:r>
          </w:p>
        </w:tc>
      </w:tr>
      <w:tr>
        <w:trPr>
          <w:trHeight w:val="210"/>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5,679,285</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5,066,000</w:t>
            </w:r>
          </w:p>
        </w:tc>
        <w:tc>
          <w:tcPr>
            <w:tcW w:w="100" w:type="dxa"/>
            <w:vAlign w:val="bottom"/>
          </w:tcPr>
          <w:p>
            <w:pPr>
              <w:spacing w:after="0"/>
              <w:rPr>
                <w:sz w:val="18"/>
                <w:szCs w:val="18"/>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(5,091,498)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(5,066,000)</w:t>
            </w: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587,787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method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(59,622)</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(407,961)</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8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(120,204)</w:t>
            </w:r>
          </w:p>
        </w:tc>
        <w:tc>
          <w:tcPr>
            <w:tcW w:w="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-719455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-445135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-153670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 amounts of cash taxes paid are as follows:</w:t>
            </w:r>
          </w:p>
        </w:tc>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w:t>
            </w:r>
          </w:p>
        </w:tc>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51,622</w:t>
            </w: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5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net of amounts refunded</w:t>
            </w: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51,622</w:t>
            </w:r>
          </w:p>
        </w:tc>
        <w:tc>
          <w:tcPr>
            <w:tcW w:w="100" w:type="dxa"/>
            <w:vAlign w:val="bottom"/>
          </w:tcPr>
          <w:p>
            <w:pPr>
              <w:spacing w:after="0"/>
              <w:rPr>
                <w:sz w:val="18"/>
                <w:szCs w:val="18"/>
                <w:color w:val="auto"/>
              </w:rPr>
            </w:pPr>
          </w:p>
        </w:tc>
      </w:tr>
      <w:tr>
        <w:trPr>
          <w:trHeight w:val="649"/>
        </w:trPr>
        <w:tc>
          <w:tcPr>
            <w:tcW w:w="44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3"/>
          </w:tcPr>
          <w:p>
            <w:pPr>
              <w:jc w:val="right"/>
              <w:ind w:right="4370"/>
              <w:spacing w:after="0"/>
              <w:rPr>
                <w:sz w:val="20"/>
                <w:szCs w:val="20"/>
                <w:color w:val="auto"/>
              </w:rPr>
            </w:pPr>
            <w:r>
              <w:rPr>
                <w:rFonts w:ascii="Times New Roman" w:cs="Times New Roman" w:eastAsia="Times New Roman" w:hAnsi="Times New Roman"/>
                <w:sz w:val="18"/>
                <w:szCs w:val="18"/>
                <w:color w:val="auto"/>
              </w:rPr>
              <w:t>F-33</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only operates within the United States, and there are no undistributed earnings.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has a net operating loss for income tax purposes of $21,256,747, of which $5,877,191 will begin to expire in 2036 and $15,379,556 may be carried forward indefinitely.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there were no material uncertain tax positions.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the potential for realization of deferred tax assets, consisting primarily of net operating loss, management considers whether it is more likely than not that some portion or all of the deferred tax assets will be realized upon the generation of future taxable income during the periods in which those temporary differences become deductible. There is a valuation allowance of $5,091,498 and $5,066,000 as of December 31, 2025 and 2024, respectively. During 2025, the valuation allowance increased by $25,498.</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U.S. and state jurisdictions have statutes of limitations that generally range from 3 to 4 years. The Company is not currently under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COMMITMENTS AND 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MAJOR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largest customer, U.S. Foods, Inc. and its affiliates, accounted for approximately 36% and 52% of total consolidated sales in each of the years ended December 31, 2025 and 2024, respectively. In addition, Gate Gourmet, the leading global provider of airline catering solutions and provisioning services for airlines, in partnership with igourmet, represented 14% and 16% of total consolidated sales for the year ended December 31, 2025 and 2024,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Discontinued Operations: Sams Club accounted for approximately 12% and 8% of total consolidated sales in each of the years ended December 31, 2025 and 2024, respectively. Sales to Sams Club related entirely to the discontinued Pennsylvania distribution operations and are not expected to continue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financial instruments, including cash, accounts payable and other liabilities, consist primarily of instruments without extended maturities, the fair value of which, based on management’s estimates, reasonably approximate their book value. The fair value of the Company’s stock options is determined using option pricing models.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adoption of ASC 815-40, the Company is required to disclose the fair value measurements required by ASC 820, “Fair Value Measurements and Disclosures.” Hierarchical levels, defined by ASC 820 are directly related to the amount of subjectivity associated with the inputs to fair valuations of these liabilities are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at the measurement date;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Inputs other than Level 1 inputs that are either directly or indirectly observable;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for which little or no market data exist, therefore requiring an entity to develop its own assumptions.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derivative financial liabilities that are recorded at fair value on a recurring basis at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445"/>
        </w:trPr>
        <w:tc>
          <w:tcPr>
            <w:tcW w:w="5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Executive Vice President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6, 2026, the Company entered into an employment with Argie Liarakos (the “Liarakos Agreement” whereby which Mr. Liarakos was appointed as Executive Vice President of Commercial Operations and Execution of the Company. Pursuant to the Liarakos Agreement, Mr. Liarakos will receive an annual base salary of $260,000 as well as certain performance-based incentives, including an equity grant of 150,000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of Facility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its subsidiary Innovative Properties, entered into an Agreement of Purchase and Sale, dated as of July 28, 2025, as amended on September 11, 2025, September 29, 2025 and November 13, 2025, with Mountaintop Holdings, pursuant to which the Company agreed to sell to Mountaintop Holdings the real property located at 220 Oak Hill Road in Mountaintop, Pennsylvania, together with certain associated property. The total purchase price was $9,225,000, which includes deposits already paid and held in escrow. The purchaser inspection and due diligence period has been completed and passed. No gain or loss has been recorded as of the date of these financial statements. The sale closed on March 6, 2026, at which time Innovative Properties received gross proceeds of $9.225 million. In connection with the closing, the debt associated with the property was repaid and extinguished.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28, 2025, in conjunction with its exit from providing audit services to publicly traded companies, Assurance Dimensions, LLC (“Assurance Dimensions”) resigned from its role as the independent registered public accounting firm for the Company. During the fiscal years ended December 31, 2024 and December 31, 2023 and the subsequent interim period through April 28, 2025, (i) there were no disagreements within the meaning of Item 304(a)</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(1)(iv) of Regulation S-K, between the Company and Assurance Dimensions on any matter of accounting principles or practices, financial statement disclosure, or auditing scope or procedure, any of which that, if not resolved to Assurance Dimensions’ satisfaction, would have caused Assurance Dimensions to make reference to the subject matter of any such disagreement in connection with its reports for such years and interim period, and (ii) there were no reportable events within the meaning of Item 304(a)(1)(v) of Regulation 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Assurance Dimensions’ sale of its publicly traded companies business to Stephano Slack LLC (“Stephano Slack”), on April 28, 2025, the Company engaged Stephano Slack as its successor audit firm to review the Company’s quarterly reports on Form 10-Q for the quarterly periods ending March 31, 2025 and June 30, 2025 (the “Interim Periods”). In connection with the change in audit firms, the Company initiated a request for proposal (“RFP”) process to evaluate various registered public accounting firms for its ongoing audit needs.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completion of the RFP process, the Company dismissed Stephano Slack as its independent registered public accounting firm effective as of September 17, 2025. During the Interim Periods and through September 17, 2025, (i) there were no disagreements within the meaning of Item 304(a)(1)(iv) of Regulation S-K, between the Company and Stephano Slack on any matter of accounting principles or practices, financial statement disclosure, or auditing scope or procedure, any of which that, if not resolved to Stephano Slack’s satisfaction, would have caused Stephano Slack to make reference to the subject matter of any such disagreement in connection with its reviews, and (ii) there were no reportable events within the meaning of Item 304(a)(1)(v) of Regulation 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22, 2025, the Company engaged CBIZ CPAs P.C. (“CBIZ”) as its new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(the “Certifying Officer”), or persons performing similar functions,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Certifying Officer, we carried out an evaluation of the effectiveness of the design and operation of our disclosure controls and procedures as defined in Rules 13a-15(e) and 15d-15(e) under the Exchange Act. Based on the foregoing, our Certifying Officer concluded that our disclosure controls and procedures were ineffective as of the end of the fiscal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15d-(f) under the Exchange Act. Our internal control over financial reporting is designed to provide reasonable assurance regarding the reliability of financial reporting and the preparation of consolidated financial statements for external purposes in accordance with U.S. GAAP. Our internal control over financial reporting includes those policies and procedures that:</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the preparation of our consolidated financial statements in accordance with U.S. GAAP,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its Chief Executive Officer, evaluated the effectiveness of the Company’s disclosure controls and procedures as of December 31, 2025. Disclosure controls and procedures are designed to ensure that information required to be disclosed by the Company in the reports it files or submits under the Securities Exchange Act of 1934, as amended, is recorded, processed, summarized, and reported within the time periods specified in the rules and forms of the Securities and Exchange Commission.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this evaluation, and because of the material weaknesses in internal control over financial reporting described below, management concluded that the Company’s disclosure controls and procedures were not effective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as defined in Rules 13a-15(f) and 15d-15(f) under the Securities Exchange Act of 1934, as amended.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policies or procedures may deteriorate.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Company’s internal control over financial reporting as of December 31, 2025 using the criteria established in the Internal Control—Integrated Framework (2013) issued by the Committee of Sponsoring Organizations of the Treadway Commission.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evaluation, management concluded that the Company’s internal control over financial reporting was not effective as of December 31, 2025 due to the material weaknesses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management’s evaluation of internal control over financial reporting, management identified material weaknesses related to information technology general controls over certain applications that support the Company’s financial reporting processes.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identified material weaknesses related to information technology general controls over certain applications that support the Company’s financial reporting processes. Specifically, management identified deficiencies associated with (a) effective user access controls to appropriately segregate duties and adequately restrict user and privileged access, (b) effective controls to monitor, document and approve application changes, and (c) effective controls related to monitoring of critical jobs. As a result of these deficiencies and certain account reconciliation and review controls that were not effectively designed in fully mitigating the related risks, automated process- level and manual controls within the financial reporting cycles that rely on information generated from such financially relevant systems were not considered effective.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management determined that these deficiencies constituted material weaknesses in internal control over financial reporting as of December 31,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 weaknesses identified above did not result in any material misstatements in our financial statements or disclosures, and there were no changes to previously released financial results. Our management concluded that the consolidated financial statements included in this Annual Report on Form 10-K, present fairly, in all material respects, our financial position, results of operations, and cash flows for the periods presented in accordance with accounting principles generally accepted in the United States of America, or U.S. 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begun implementing measures designed to remediate the material weaknesses described above. These remediation efforts include:</w:t>
      </w:r>
    </w:p>
    <w:p>
      <w:pPr>
        <w:spacing w:after="0" w:line="225" w:lineRule="exact"/>
        <w:rPr>
          <w:sz w:val="20"/>
          <w:szCs w:val="20"/>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information technology governance procedures related to user access administration, periodic access reviews, and application change management for systems supporting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documentation, approval, testing, and tracking procedures for application changes;</w:t>
      </w:r>
    </w:p>
    <w:p>
      <w:pPr>
        <w:spacing w:after="0" w:line="33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user roles and access permissions within relevant applications and implementing additional role-based access governance procedures, as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documentation, retention, and review of system change logs and other relevant system activity logs;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documentation of existing monitoring controls related to system interfaces, application functionality, and data validation processes.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will continue to evaluate the design and operating effectiveness of these remediation efforts. The material weaknesses will not be considered remediated until the applicable controls have been fully implemented, tested, and determined to be operating effectively for a sufficient period of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 Accordingly, our internal controls and procedures are designed to provide reasonable assurance of achieving their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made no change in our internal control over financial reporting during the last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as we are not a large accelerated filer or an accelerated filer.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The information required by Part III is incorporated by reference to the Company’s proxy statement to be filed for the 2026 Annual Meeting.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18"/>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Articles of Incorporation (incorporated by reference to exhibit 3.1 of the Company’s annual report on Form 10-KSB for the year ended</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December 31, 2004 filed with the Securities and Exchange Commission on September 28, 2005)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Amended Bylaws of the Company (incorporated by reference to exhibit 3.2 of the Company’s annual report Form 10-K for the year ended</w:t>
              </w:r>
            </w:hyperlink>
          </w:p>
        </w:tc>
      </w:tr>
      <w:tr>
        <w:trPr>
          <w:trHeight w:val="196"/>
        </w:trPr>
        <w:tc>
          <w:tcPr>
            <w:tcW w:w="1020" w:type="dxa"/>
            <w:vAlign w:val="bottom"/>
          </w:tcPr>
          <w:p>
            <w:pPr>
              <w:spacing w:after="0"/>
              <w:rPr>
                <w:sz w:val="17"/>
                <w:szCs w:val="17"/>
                <w:color w:val="auto"/>
              </w:rPr>
            </w:pPr>
          </w:p>
        </w:tc>
        <w:tc>
          <w:tcPr>
            <w:tcW w:w="6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December 31, 2010 filed with the Securities and Exchange Commission on March 16, 2011)</w:t>
              </w:r>
            </w:hyperlink>
          </w:p>
        </w:tc>
        <w:tc>
          <w:tcPr>
            <w:tcW w:w="3560" w:type="dxa"/>
            <w:vAlign w:val="bottom"/>
            <w:gridSpan w:val="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220" w:type="dxa"/>
            <w:vAlign w:val="bottom"/>
            <w:gridSpan w:val="18"/>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0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Securities and Exchange Commission on January 31, 2012)</w:t>
              </w:r>
            </w:hyperlink>
          </w:p>
        </w:tc>
        <w:tc>
          <w:tcPr>
            <w:tcW w:w="590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220" w:type="dxa"/>
            <w:vAlign w:val="bottom"/>
            <w:gridSpan w:val="18"/>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Bylaws of the Company (incorporated by reference to exhibit 3.2 of the Company’s current report Form 8-K filed with the</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Securities and Exchange Commission on January 23, 2018)</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220" w:type="dxa"/>
            <w:vAlign w:val="bottom"/>
            <w:gridSpan w:val="18"/>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02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Securities and Exchange Commission on September 14, 2021)</w:t>
              </w:r>
            </w:hyperlink>
          </w:p>
        </w:tc>
        <w:tc>
          <w:tcPr>
            <w:tcW w:w="57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220" w:type="dxa"/>
            <w:vAlign w:val="bottom"/>
            <w:gridSpan w:val="18"/>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0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Securities and Exchange Commission on March 13, 2023)</w:t>
              </w:r>
            </w:hyperlink>
          </w:p>
        </w:tc>
        <w:tc>
          <w:tcPr>
            <w:tcW w:w="600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220" w:type="dxa"/>
            <w:vAlign w:val="bottom"/>
            <w:gridSpan w:val="18"/>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Amended Bylaws of the Company (incorporated by reference to exhibit 3.1 of the Company’s current report Form 8-K filed with the</w:t>
              </w:r>
            </w:hyperlink>
          </w:p>
        </w:tc>
      </w:tr>
      <w:tr>
        <w:trPr>
          <w:trHeight w:val="196"/>
        </w:trPr>
        <w:tc>
          <w:tcPr>
            <w:tcW w:w="10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Securities and Exchange Commission on May 23, 2023)</w:t>
              </w:r>
            </w:hyperlink>
          </w:p>
        </w:tc>
        <w:tc>
          <w:tcPr>
            <w:tcW w:w="614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Description of Securities (incorporated by reference to exhibit 4.1 of the Company’s annual report Form 10-K for the year ended December</w:t>
              </w:r>
            </w:hyperlink>
          </w:p>
        </w:tc>
      </w:tr>
      <w:tr>
        <w:trPr>
          <w:trHeight w:val="196"/>
        </w:trPr>
        <w:tc>
          <w:tcPr>
            <w:tcW w:w="1020" w:type="dxa"/>
            <w:vAlign w:val="bottom"/>
          </w:tcPr>
          <w:p>
            <w:pPr>
              <w:spacing w:after="0"/>
              <w:rPr>
                <w:sz w:val="17"/>
                <w:szCs w:val="17"/>
                <w:color w:val="auto"/>
              </w:rPr>
            </w:pPr>
          </w:p>
        </w:tc>
        <w:tc>
          <w:tcPr>
            <w:tcW w:w="5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31, 2024 filed with the Securities and Exchange Commission on March 20, 2025)</w:t>
              </w:r>
            </w:hyperlink>
          </w:p>
        </w:tc>
        <w:tc>
          <w:tcPr>
            <w:tcW w:w="4340" w:type="dxa"/>
            <w:vAlign w:val="bottom"/>
            <w:gridSpan w:val="1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Loan Sale Agreement dated as of January 10, 2018 between Food Funding, LLC, a subsidiary of the registrant and UPS Capital Business</w:t>
              </w:r>
            </w:hyperlink>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Credit (incorporated by reference to the Company’s Form 8-K filed with the Securities and Exchange Commission on January 30, 2018)</w:t>
              </w:r>
            </w:hyperlink>
          </w:p>
        </w:tc>
        <w:tc>
          <w:tcPr>
            <w:tcW w:w="40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18"/>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Fifth Amendment to Restated Loan Agreement dated February 28, 2018 between Fifth Third Bank and the registrant and its subsidiaries</w:t>
              </w:r>
            </w:hyperlink>
          </w:p>
        </w:tc>
      </w:tr>
      <w:tr>
        <w:trPr>
          <w:trHeight w:val="196"/>
        </w:trPr>
        <w:tc>
          <w:tcPr>
            <w:tcW w:w="1020" w:type="dxa"/>
            <w:vAlign w:val="bottom"/>
          </w:tcPr>
          <w:p>
            <w:pPr>
              <w:spacing w:after="0"/>
              <w:rPr>
                <w:sz w:val="17"/>
                <w:szCs w:val="17"/>
                <w:color w:val="auto"/>
              </w:rPr>
            </w:pPr>
          </w:p>
        </w:tc>
        <w:tc>
          <w:tcPr>
            <w:tcW w:w="102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(incorporated by reference to the Company’s Form 10-K filed with the Securities and Exchange Commission on March 29, 2018).</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40" w:type="dxa"/>
            <w:vAlign w:val="bottom"/>
            <w:gridSpan w:val="7"/>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Promissory Note of the registrant and its subsidiaries in favor of Fifth Third Bank dated as of February 28, 2018 (incorporated by reference to</w:t>
              </w:r>
            </w:hyperlink>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Company’s Form 10-K filed with the Securities and Exchange Commission on March 29, 2018).</w:t>
              </w:r>
            </w:hyperlink>
          </w:p>
        </w:tc>
      </w:tr>
      <w:tr>
        <w:trPr>
          <w:trHeight w:val="20"/>
        </w:trPr>
        <w:tc>
          <w:tcPr>
            <w:tcW w:w="10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40" w:type="dxa"/>
            <w:vAlign w:val="bottom"/>
            <w:gridSpan w:val="7"/>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Draw Promissory Note of the registrant and its subsidiaries in favor of Fifth Third Bank dated as of March 13, 2018 (incorporated by</w:t>
              </w:r>
            </w:hyperlink>
          </w:p>
        </w:tc>
      </w:tr>
      <w:tr>
        <w:trPr>
          <w:trHeight w:val="196"/>
        </w:trPr>
        <w:tc>
          <w:tcPr>
            <w:tcW w:w="1020" w:type="dxa"/>
            <w:vAlign w:val="bottom"/>
          </w:tcPr>
          <w:p>
            <w:pPr>
              <w:spacing w:after="0"/>
              <w:rPr>
                <w:sz w:val="17"/>
                <w:szCs w:val="17"/>
                <w:color w:val="auto"/>
              </w:rPr>
            </w:pPr>
          </w:p>
        </w:tc>
        <w:tc>
          <w:tcPr>
            <w:tcW w:w="8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reference to the Company’s Form 10-K filed with the Securities and Exchange Commission on March 29, 2018).</w:t>
              </w:r>
            </w:hyperlink>
          </w:p>
        </w:tc>
        <w:tc>
          <w:tcPr>
            <w:tcW w:w="2080" w:type="dxa"/>
            <w:vAlign w:val="bottom"/>
            <w:gridSpan w:val="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Master Loan and Security Agreement dated March 13, 2018 between Fifth Third Bank and the registrant and its subsidiaries (incorporated by</w:t>
              </w:r>
            </w:hyperlink>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reference to the Company’s Form 10-K filed with the Securities and Exchange Commission on March 29, 2018).</w:t>
              </w:r>
            </w:hyperlink>
          </w:p>
        </w:tc>
      </w:tr>
      <w:tr>
        <w:trPr>
          <w:trHeight w:val="20"/>
        </w:trPr>
        <w:tc>
          <w:tcPr>
            <w:tcW w:w="10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40" w:type="dxa"/>
            <w:vAlign w:val="bottom"/>
            <w:gridSpan w:val="7"/>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Director Agreement dated as of January 28, 2019 (incorporated by reference to the Company’s Form 8-K filed with the Securities</w:t>
              </w:r>
            </w:hyperlink>
          </w:p>
        </w:tc>
      </w:tr>
      <w:tr>
        <w:trPr>
          <w:trHeight w:val="196"/>
        </w:trPr>
        <w:tc>
          <w:tcPr>
            <w:tcW w:w="1020" w:type="dxa"/>
            <w:vAlign w:val="bottom"/>
          </w:tcPr>
          <w:p>
            <w:pPr>
              <w:spacing w:after="0"/>
              <w:rPr>
                <w:sz w:val="17"/>
                <w:szCs w:val="17"/>
                <w:color w:val="auto"/>
              </w:rPr>
            </w:pPr>
          </w:p>
        </w:tc>
        <w:tc>
          <w:tcPr>
            <w:tcW w:w="3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and Exchange Commission on February 1, 2019)</w:t>
              </w:r>
            </w:hyperlink>
          </w:p>
        </w:tc>
        <w:tc>
          <w:tcPr>
            <w:tcW w:w="6680" w:type="dxa"/>
            <w:vAlign w:val="bottom"/>
            <w:gridSpan w:val="1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Eighth Amendment to Restated Loan Agreement dated as of November 9, 2019 between Fifth Third Bank, National Association, and the</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Registrant and certain of its subsidiaries (incorporated by reference to the Company’s Form 10-Q filed with the Securities and Exchange</w:t>
              </w:r>
            </w:hyperlink>
          </w:p>
        </w:tc>
      </w:tr>
      <w:tr>
        <w:trPr>
          <w:trHeight w:val="196"/>
        </w:trPr>
        <w:tc>
          <w:tcPr>
            <w:tcW w:w="1020" w:type="dxa"/>
            <w:vAlign w:val="bottom"/>
          </w:tcPr>
          <w:p>
            <w:pPr>
              <w:spacing w:after="0"/>
              <w:rPr>
                <w:sz w:val="17"/>
                <w:szCs w:val="17"/>
                <w:color w:val="auto"/>
              </w:rPr>
            </w:pPr>
          </w:p>
        </w:tc>
        <w:tc>
          <w:tcPr>
            <w:tcW w:w="2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Commission on November 14, 2019).</w:t>
              </w:r>
            </w:hyperlink>
          </w:p>
        </w:tc>
        <w:tc>
          <w:tcPr>
            <w:tcW w:w="750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Promissory Note effective November 9, 2019 between Fifth Third Bank, National Association, and Innovative Food Properties, LLC, a</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wholly-owned subsidiary of the Registrant (incorporated by reference to the Company’s Form 10-Q filed with the Securities and Exchange</w:t>
              </w:r>
            </w:hyperlink>
          </w:p>
        </w:tc>
      </w:tr>
      <w:tr>
        <w:trPr>
          <w:trHeight w:val="196"/>
        </w:trPr>
        <w:tc>
          <w:tcPr>
            <w:tcW w:w="1020" w:type="dxa"/>
            <w:vAlign w:val="bottom"/>
          </w:tcPr>
          <w:p>
            <w:pPr>
              <w:spacing w:after="0"/>
              <w:rPr>
                <w:sz w:val="17"/>
                <w:szCs w:val="17"/>
                <w:color w:val="auto"/>
              </w:rPr>
            </w:pPr>
          </w:p>
        </w:tc>
        <w:tc>
          <w:tcPr>
            <w:tcW w:w="2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Commission on November 14, 2019).</w:t>
              </w:r>
            </w:hyperlink>
          </w:p>
        </w:tc>
        <w:tc>
          <w:tcPr>
            <w:tcW w:w="750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Mortgage, Assignment of Leases, Fixture Filing and Security Agreement date as of November 9, 2019 between Fifth Third Bank, National</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Association, and Innovative Food Properties, LLC, a wholly-owned subsidiary of the Registrant (incorporated by reference to the Company’s</w:t>
              </w:r>
            </w:hyperlink>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10-Q filed with the Securities and Exchange Commission on November 14, 2019).</w:t>
              </w:r>
            </w:hyperlink>
          </w:p>
        </w:tc>
      </w:tr>
      <w:tr>
        <w:trPr>
          <w:trHeight w:val="20"/>
        </w:trPr>
        <w:tc>
          <w:tcPr>
            <w:tcW w:w="10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Agreement for Purchase and Sale of Real Estate dated as of August 9, 2019 (incorporated by reference to the Company’s Form 10-Q filed</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with the Securities and Exchange Commission on August 14, 2019).</w:t>
              </w:r>
            </w:hyperlink>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17"/>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Securities Purchase Agreement dated August 26, 2021 between the Company and each of JCP Investment Partnership LP, Bandera Master</w:t>
              </w:r>
            </w:hyperlink>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Fund L.P. and SV Asset Management LLC (incorporated by reference to the Company’s Form 8-K filed with the Securities and Exchange</w:t>
              </w:r>
            </w:hyperlink>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Commission on August 31, 2021).</w:t>
              </w:r>
            </w:hyperlink>
          </w:p>
        </w:tc>
        <w:tc>
          <w:tcPr>
            <w:tcW w:w="7740" w:type="dxa"/>
            <w:vAlign w:val="bottom"/>
            <w:gridSpan w:val="1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Loan Agreement dated as of June 6, 2022 between the Registrant, Innovative Food Properties, LLC and MapleMark Bank (FL, IL)</w:t>
              </w:r>
            </w:hyperlink>
          </w:p>
        </w:tc>
      </w:tr>
      <w:tr>
        <w:trPr>
          <w:trHeight w:val="196"/>
        </w:trPr>
        <w:tc>
          <w:tcPr>
            <w:tcW w:w="1020" w:type="dxa"/>
            <w:vAlign w:val="bottom"/>
          </w:tcPr>
          <w:p>
            <w:pPr>
              <w:spacing w:after="0"/>
              <w:rPr>
                <w:sz w:val="17"/>
                <w:szCs w:val="17"/>
                <w:color w:val="auto"/>
              </w:rPr>
            </w:pPr>
          </w:p>
        </w:tc>
        <w:tc>
          <w:tcPr>
            <w:tcW w:w="9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(incorporated by reference to the Company’s Form 8-K filed with the Securities and Exchange Commission on June 14, 2022).</w:t>
              </w:r>
            </w:hyperlink>
          </w:p>
        </w:tc>
        <w:tc>
          <w:tcPr>
            <w:tcW w:w="1080" w:type="dxa"/>
            <w:vAlign w:val="bottom"/>
            <w:gridSpan w:val="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Loan Agreement dated as of June 6, 2022 between the Registrant, Innovative Food Properties, LLC and MapleMark Bank (PA) (incorporated</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by reference to the Company’s Form 8-K filed with the Securities and Exchange Commission on June 14, 2022).</w:t>
              </w:r>
            </w:hyperlink>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Loan Agreement dated as of June 6, 2022 between the Registrant and MapleMark Bank (incorporated by reference to the Company’s Form 8-</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K filed with the Securities and Exchange Commission on June 14, 2022).</w:t>
              </w:r>
            </w:hyperlink>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Board Observer Agreement dated as of November 28, 2022 between the Registrant and Denver J. Smith (incorporated by reference to the</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Company’s Form 8-K filed with the Securities and Exchange Commission on November 29, 2022).</w:t>
              </w:r>
            </w:hyperlink>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Employment Agreement with Robert William Bennett dated as of February 3, 2023 (incorporated by reference to the Company’s Form 8-K</w:t>
              </w:r>
            </w:hyperlink>
          </w:p>
        </w:tc>
      </w:tr>
      <w:tr>
        <w:trPr>
          <w:trHeight w:val="196"/>
        </w:trPr>
        <w:tc>
          <w:tcPr>
            <w:tcW w:w="1020" w:type="dxa"/>
            <w:vAlign w:val="bottom"/>
          </w:tcPr>
          <w:p>
            <w:pPr>
              <w:spacing w:after="0"/>
              <w:rPr>
                <w:sz w:val="17"/>
                <w:szCs w:val="17"/>
                <w:color w:val="auto"/>
              </w:rPr>
            </w:pPr>
          </w:p>
        </w:tc>
        <w:tc>
          <w:tcPr>
            <w:tcW w:w="5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filed with the Securities and Exchange Commission on February 7, 2023)</w:t>
              </w:r>
            </w:hyperlink>
          </w:p>
        </w:tc>
        <w:tc>
          <w:tcPr>
            <w:tcW w:w="492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First Amendment to the Employment Agreement with Robert William Bennett dated as of November 3, 2023 (incorporated by reference to</w:t>
              </w:r>
            </w:hyperlink>
          </w:p>
        </w:tc>
      </w:tr>
      <w:tr>
        <w:trPr>
          <w:trHeight w:val="196"/>
        </w:trPr>
        <w:tc>
          <w:tcPr>
            <w:tcW w:w="102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the Company’s Form 8-K filed with the Securities and Exchange Commission on November 9, 2023)</w:t>
              </w:r>
            </w:hyperlink>
          </w:p>
        </w:tc>
        <w:tc>
          <w:tcPr>
            <w:tcW w:w="2920" w:type="dxa"/>
            <w:vAlign w:val="bottom"/>
            <w:gridSpan w:val="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Employment Agreement with Brady Smallwood dated as of April 14, 2023 (incorporated by reference to the Company’s Form 8-K filed with</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the Securities and Exchange Commission on May 17, 2023)</w:t>
              </w:r>
            </w:hyperlink>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Non-Plan Stock-Appreciation Right Award Grant Notice and Award Agreement with Brady Smallwood dated as of July 7, 2023</w:t>
              </w:r>
            </w:hyperlink>
          </w:p>
        </w:tc>
      </w:tr>
      <w:tr>
        <w:trPr>
          <w:trHeight w:val="196"/>
        </w:trPr>
        <w:tc>
          <w:tcPr>
            <w:tcW w:w="1020" w:type="dxa"/>
            <w:vAlign w:val="bottom"/>
          </w:tcPr>
          <w:p>
            <w:pPr>
              <w:spacing w:after="0"/>
              <w:rPr>
                <w:sz w:val="17"/>
                <w:szCs w:val="17"/>
                <w:color w:val="auto"/>
              </w:rPr>
            </w:pPr>
          </w:p>
        </w:tc>
        <w:tc>
          <w:tcPr>
            <w:tcW w:w="9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(incorporated by reference to the Company’s Form 8-K filed with the Securities and Exchange Commission on July 12, 2023)</w:t>
              </w:r>
            </w:hyperlink>
          </w:p>
        </w:tc>
        <w:tc>
          <w:tcPr>
            <w:tcW w:w="1160" w:type="dxa"/>
            <w:vAlign w:val="bottom"/>
            <w:gridSpan w:val="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Employment Agreement with Gary Schubert dated as of December 29, 2023 (incorporated by reference to the Company’s Form 8-K filed</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with the Securities and Exchange Commission on January 3, 2024)</w:t>
              </w:r>
            </w:hyperlink>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and Restated Asset Purchase Agreement, dated August 30, 2024, between Innovative Gourmet LLC, iGourmet LLC and</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Innovative Gourmet Group, Inc. (incorporated by reference to the Company’s Form 8-K filed with the Securities and Exchange Commission</w:t>
              </w:r>
            </w:hyperlink>
          </w:p>
        </w:tc>
      </w:tr>
      <w:tr>
        <w:trPr>
          <w:trHeight w:val="196"/>
        </w:trPr>
        <w:tc>
          <w:tcPr>
            <w:tcW w:w="102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on September 4, 2024)</w:t>
              </w:r>
            </w:hyperlink>
          </w:p>
        </w:tc>
        <w:tc>
          <w:tcPr>
            <w:tcW w:w="8580" w:type="dxa"/>
            <w:vAlign w:val="bottom"/>
            <w:gridSpan w:val="1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Transition Services Agreement, dated August 30, 2024, between Innovative Gourmet LLC, iGourmet LLC and Innovative Gourmet Group,</w:t>
              </w:r>
            </w:hyperlink>
          </w:p>
        </w:tc>
      </w:tr>
      <w:tr>
        <w:trPr>
          <w:trHeight w:val="196"/>
        </w:trPr>
        <w:tc>
          <w:tcPr>
            <w:tcW w:w="1020" w:type="dxa"/>
            <w:vAlign w:val="bottom"/>
          </w:tcPr>
          <w:p>
            <w:pPr>
              <w:spacing w:after="0"/>
              <w:rPr>
                <w:sz w:val="17"/>
                <w:szCs w:val="17"/>
                <w:color w:val="auto"/>
              </w:rPr>
            </w:pPr>
          </w:p>
        </w:tc>
        <w:tc>
          <w:tcPr>
            <w:tcW w:w="97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Inc. (incorporated by reference to the Company’s Form 8-K filed with the Securities and Exchange Commission on September 4, 2024)</w:t>
              </w:r>
            </w:hyperlink>
          </w:p>
        </w:tc>
        <w:tc>
          <w:tcPr>
            <w:tcW w:w="46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Asset Purchase Agreement, dated October 14, 2024, by and among Innovative Food Holdings, Inc., Golden Organics, Inc. and David Rickard</w:t>
              </w:r>
            </w:hyperlink>
          </w:p>
        </w:tc>
      </w:tr>
      <w:tr>
        <w:trPr>
          <w:trHeight w:val="196"/>
        </w:trPr>
        <w:tc>
          <w:tcPr>
            <w:tcW w:w="1020" w:type="dxa"/>
            <w:vAlign w:val="bottom"/>
          </w:tcPr>
          <w:p>
            <w:pPr>
              <w:spacing w:after="0"/>
              <w:rPr>
                <w:sz w:val="17"/>
                <w:szCs w:val="17"/>
                <w:color w:val="auto"/>
              </w:rPr>
            </w:pPr>
          </w:p>
        </w:tc>
        <w:tc>
          <w:tcPr>
            <w:tcW w:w="9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(incorporated by reference to the Company’s Form 8-K filed with the Securities and Exchange Commission on October 18, 2024)</w:t>
              </w:r>
            </w:hyperlink>
          </w:p>
        </w:tc>
        <w:tc>
          <w:tcPr>
            <w:tcW w:w="880" w:type="dxa"/>
            <w:vAlign w:val="bottom"/>
            <w:gridSpan w:val="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Seller Financing Note (incorporated by reference to the Company’s Form 8-K filed with the Securities and Exchange Commission</w:t>
              </w:r>
            </w:hyperlink>
          </w:p>
        </w:tc>
      </w:tr>
      <w:tr>
        <w:trPr>
          <w:trHeight w:val="196"/>
        </w:trPr>
        <w:tc>
          <w:tcPr>
            <w:tcW w:w="102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on October 18, 2024)</w:t>
              </w:r>
            </w:hyperlink>
          </w:p>
        </w:tc>
        <w:tc>
          <w:tcPr>
            <w:tcW w:w="8680" w:type="dxa"/>
            <w:vAlign w:val="bottom"/>
            <w:gridSpan w:val="16"/>
          </w:tcPr>
          <w:p>
            <w:pPr>
              <w:spacing w:after="0"/>
              <w:rPr>
                <w:sz w:val="17"/>
                <w:szCs w:val="17"/>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5"/>
          </w:tcPr>
          <w:p>
            <w:pPr>
              <w:ind w:left="45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Purchase Agreement by and between the Company and Gulf Coast Aluminum, dated December 12, 2023 (incorporated by reference to the</w:t>
              </w:r>
            </w:hyperlink>
          </w:p>
        </w:tc>
      </w:tr>
      <w:tr>
        <w:trPr>
          <w:trHeight w:val="196"/>
        </w:trPr>
        <w:tc>
          <w:tcPr>
            <w:tcW w:w="102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Company’s Form 8-K filed with the Securities and Exchange Commission on February 16, 2024)</w:t>
              </w:r>
            </w:hyperlink>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Asset Purchase Agreement by and between M Innovations LLC and M Specialty Foods Inc., dated October 31, 2024 (incorporated by</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reference to exhibit 10.26 of the Company’s Annual Report on Form 10-K for the year ended December 31, 2024 filed with the Securities and</w:t>
              </w:r>
            </w:hyperlink>
          </w:p>
        </w:tc>
      </w:tr>
      <w:tr>
        <w:trPr>
          <w:trHeight w:val="196"/>
        </w:trPr>
        <w:tc>
          <w:tcPr>
            <w:tcW w:w="102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Exchange Commission on March 20, 2025)</w:t>
              </w:r>
            </w:hyperlink>
          </w:p>
        </w:tc>
        <w:tc>
          <w:tcPr>
            <w:tcW w:w="7080" w:type="dxa"/>
            <w:vAlign w:val="bottom"/>
            <w:gridSpan w:val="1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Innovative Food Holdings, Inc. 2025 Equity Incentive Plan (incorporated by reference to the Company’s Form 8-K filed with the Securities</w:t>
              </w:r>
            </w:hyperlink>
          </w:p>
        </w:tc>
      </w:tr>
      <w:tr>
        <w:trPr>
          <w:trHeight w:val="196"/>
        </w:trPr>
        <w:tc>
          <w:tcPr>
            <w:tcW w:w="1020" w:type="dxa"/>
            <w:vAlign w:val="bottom"/>
          </w:tcPr>
          <w:p>
            <w:pPr>
              <w:spacing w:after="0"/>
              <w:rPr>
                <w:sz w:val="17"/>
                <w:szCs w:val="17"/>
                <w:color w:val="auto"/>
              </w:rPr>
            </w:pPr>
          </w:p>
        </w:tc>
        <w:tc>
          <w:tcPr>
            <w:tcW w:w="3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and Exchange Commission on February 3, 2025)</w:t>
              </w:r>
            </w:hyperlink>
          </w:p>
        </w:tc>
        <w:tc>
          <w:tcPr>
            <w:tcW w:w="668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Agreement of Purchase and Sale, dated July 28, 2025, by and between Innovative Food Properties LLC and Mountaintop Holdings, LLC.</w:t>
              </w:r>
            </w:hyperlink>
          </w:p>
        </w:tc>
      </w:tr>
      <w:tr>
        <w:trPr>
          <w:trHeight w:val="196"/>
        </w:trPr>
        <w:tc>
          <w:tcPr>
            <w:tcW w:w="102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(incorporated by reference to the Company’s Form 8-K filed with the Securities and Exchange Commission on August 1, 2025)</w:t>
              </w:r>
            </w:hyperlink>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First Amendment to Agreement of Purchase and Sale, dated September 11, 2025, by and between Innovative Food Properties LLC and</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Mountaintop Holdings, LLC (incorporated by reference to the Company’s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September 16, 2025)</w:t>
              </w:r>
            </w:hyperlink>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Second Amendment to Agreement of Purchase and Sale, dated September 29, 2025, by and between Innovative Food Properties LLC and</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Mountaintop Holdings, LLC (incorporated by reference to the Company’s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October 3, 2025)</w:t>
              </w:r>
            </w:hyperlink>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Executive Employment Agreement, dated October 3, 2025, by and between the Company and Gary Schubert (incorporated by reference to</w:t>
              </w:r>
            </w:hyperlink>
          </w:p>
        </w:tc>
      </w:tr>
      <w:tr>
        <w:trPr>
          <w:trHeight w:val="196"/>
        </w:trPr>
        <w:tc>
          <w:tcPr>
            <w:tcW w:w="1020" w:type="dxa"/>
            <w:vAlign w:val="bottom"/>
          </w:tcPr>
          <w:p>
            <w:pPr>
              <w:spacing w:after="0"/>
              <w:rPr>
                <w:sz w:val="17"/>
                <w:szCs w:val="17"/>
                <w:color w:val="auto"/>
              </w:rPr>
            </w:pPr>
          </w:p>
        </w:tc>
        <w:tc>
          <w:tcPr>
            <w:tcW w:w="7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the Company’s Form 8-K filed with the Securities and Exchange Commission on October 9, 2025)</w:t>
              </w:r>
            </w:hyperlink>
          </w:p>
        </w:tc>
        <w:tc>
          <w:tcPr>
            <w:tcW w:w="3100" w:type="dxa"/>
            <w:vAlign w:val="bottom"/>
            <w:gridSpan w:val="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220" w:type="dxa"/>
            <w:vAlign w:val="bottom"/>
            <w:gridSpan w:val="15"/>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Separation Agreement and General Release, dated October 4, 2025, by and between the Company and Bill Bennett (incorporated by</w:t>
              </w:r>
            </w:hyperlink>
          </w:p>
        </w:tc>
      </w:tr>
      <w:tr>
        <w:trPr>
          <w:trHeight w:val="196"/>
        </w:trPr>
        <w:tc>
          <w:tcPr>
            <w:tcW w:w="1020" w:type="dxa"/>
            <w:vAlign w:val="bottom"/>
          </w:tcPr>
          <w:p>
            <w:pPr>
              <w:spacing w:after="0"/>
              <w:rPr>
                <w:sz w:val="17"/>
                <w:szCs w:val="17"/>
                <w:color w:val="auto"/>
              </w:rPr>
            </w:pPr>
          </w:p>
        </w:tc>
        <w:tc>
          <w:tcPr>
            <w:tcW w:w="80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reference to the Company’s Form 8-K filed with the Securities and Exchange Commission on October 9, 2025)</w:t>
              </w:r>
            </w:hyperlink>
          </w:p>
        </w:tc>
        <w:tc>
          <w:tcPr>
            <w:tcW w:w="21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Third Amendment to Agreement of Purchase and Sale, dated September 29, 2025, by and between Innovative Food Properties LLC and</w:t>
              </w:r>
            </w:hyperlink>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Mountaintop Holdings, LLC (incorporated by reference to the Company’s Form 8-K filed with the Securities and Exchange Commission</w:t>
              </w:r>
            </w:hyperlink>
          </w:p>
        </w:tc>
      </w:tr>
      <w:tr>
        <w:trPr>
          <w:trHeight w:val="196"/>
        </w:trPr>
        <w:tc>
          <w:tcPr>
            <w:tcW w:w="1020" w:type="dxa"/>
            <w:vAlign w:val="bottom"/>
          </w:tcPr>
          <w:p>
            <w:pPr>
              <w:spacing w:after="0"/>
              <w:rPr>
                <w:sz w:val="17"/>
                <w:szCs w:val="17"/>
                <w:color w:val="auto"/>
              </w:rPr>
            </w:pPr>
          </w:p>
        </w:tc>
        <w:tc>
          <w:tcPr>
            <w:tcW w:w="1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on November 14, 2025)</w:t>
              </w:r>
            </w:hyperlink>
          </w:p>
        </w:tc>
        <w:tc>
          <w:tcPr>
            <w:tcW w:w="8500" w:type="dxa"/>
            <w:vAlign w:val="bottom"/>
            <w:gridSpan w:val="1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Code of Ethical Conduct (incorporated by reference to exhibit 14.1 of the Company’s Form 8-K filed with the Securities and Exchange</w:t>
              </w:r>
            </w:hyperlink>
          </w:p>
        </w:tc>
      </w:tr>
      <w:tr>
        <w:trPr>
          <w:trHeight w:val="196"/>
        </w:trPr>
        <w:tc>
          <w:tcPr>
            <w:tcW w:w="1020" w:type="dxa"/>
            <w:vAlign w:val="bottom"/>
          </w:tcPr>
          <w:p>
            <w:pPr>
              <w:spacing w:after="0"/>
              <w:rPr>
                <w:sz w:val="17"/>
                <w:szCs w:val="17"/>
                <w:color w:val="auto"/>
              </w:rPr>
            </w:pPr>
          </w:p>
        </w:tc>
        <w:tc>
          <w:tcPr>
            <w:tcW w:w="2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Commission on July 12, 2023)</w:t>
              </w:r>
            </w:hyperlink>
          </w:p>
        </w:tc>
        <w:tc>
          <w:tcPr>
            <w:tcW w:w="8000" w:type="dxa"/>
            <w:vAlign w:val="bottom"/>
            <w:gridSpan w:val="1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Letter from Assurance Dimensions, LLC addressed to the Audit Committee of the Company dated April 28, 2025 (incorporated by reference</w:t>
              </w:r>
            </w:hyperlink>
          </w:p>
        </w:tc>
      </w:tr>
      <w:tr>
        <w:trPr>
          <w:trHeight w:val="196"/>
        </w:trPr>
        <w:tc>
          <w:tcPr>
            <w:tcW w:w="1020" w:type="dxa"/>
            <w:vAlign w:val="bottom"/>
          </w:tcPr>
          <w:p>
            <w:pPr>
              <w:spacing w:after="0"/>
              <w:rPr>
                <w:sz w:val="17"/>
                <w:szCs w:val="17"/>
                <w:color w:val="auto"/>
              </w:rPr>
            </w:pPr>
          </w:p>
        </w:tc>
        <w:tc>
          <w:tcPr>
            <w:tcW w:w="7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to the Company’s Form 8-K filed with the Securities and Exchange Commission on May 01, 2025)</w:t>
              </w:r>
            </w:hyperlink>
          </w:p>
        </w:tc>
        <w:tc>
          <w:tcPr>
            <w:tcW w:w="3080" w:type="dxa"/>
            <w:vAlign w:val="bottom"/>
            <w:gridSpan w:val="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16.2</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Letter from Stephano Slack LLC, dated September 22, 2025 (incorporated by reference to the Company’s Form 8-K filed with the Securities</w:t>
              </w:r>
            </w:hyperlink>
          </w:p>
        </w:tc>
      </w:tr>
      <w:tr>
        <w:trPr>
          <w:trHeight w:val="196"/>
        </w:trPr>
        <w:tc>
          <w:tcPr>
            <w:tcW w:w="102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and Exchange Commission on September 23, 2025)</w:t>
              </w:r>
            </w:hyperlink>
          </w:p>
        </w:tc>
      </w:tr>
      <w:tr>
        <w:trPr>
          <w:trHeight w:val="20"/>
        </w:trPr>
        <w:tc>
          <w:tcPr>
            <w:tcW w:w="1020" w:type="dxa"/>
            <w:vAlign w:val="bottom"/>
          </w:tcPr>
          <w:p>
            <w:pPr>
              <w:spacing w:after="0" w:line="20" w:lineRule="exact"/>
              <w:rPr>
                <w:sz w:val="1"/>
                <w:szCs w:val="1"/>
                <w:color w:val="auto"/>
              </w:rPr>
            </w:pPr>
          </w:p>
        </w:tc>
        <w:tc>
          <w:tcPr>
            <w:tcW w:w="3740" w:type="dxa"/>
            <w:vAlign w:val="bottom"/>
            <w:gridSpan w:val="7"/>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Insider Trading Policy (incorporated by reference to exhibit 19.1 of the Company’s Annual Report on Form 10-K for the year ended</w:t>
              </w:r>
            </w:hyperlink>
          </w:p>
        </w:tc>
      </w:tr>
      <w:tr>
        <w:trPr>
          <w:trHeight w:val="196"/>
        </w:trPr>
        <w:tc>
          <w:tcPr>
            <w:tcW w:w="102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December 31, 2024 filed with the Securities and Exchange Commission on March 20, 2025)</w:t>
              </w:r>
            </w:hyperlink>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hanging="1012"/>
        <w:spacing w:after="0" w:line="282" w:lineRule="auto"/>
        <w:tabs>
          <w:tab w:leader="none" w:pos="1020" w:val="left"/>
        </w:tabs>
        <w:numPr>
          <w:ilvl w:val="0"/>
          <w:numId w:val="29"/>
        </w:numPr>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Subsidiaries of the Company (incorporated by reference to exhibit 21 of the Company’s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December 31, 2024 filed with the Securities and Exchange Commission on March 20, 2025)</w:t>
        </w:r>
      </w:hyperlink>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r>
      <w:tr>
        <w:trPr>
          <w:trHeight w:val="20"/>
        </w:trPr>
        <w:tc>
          <w:tcPr>
            <w:tcW w:w="102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3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Rule 13a-14(a) Certification of Principal Accounting Officer</w:t>
            </w:r>
          </w:p>
        </w:tc>
        <w:tc>
          <w:tcPr>
            <w:tcW w:w="5820" w:type="dxa"/>
            <w:vAlign w:val="bottom"/>
            <w:gridSpan w:val="2"/>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Rule 1350 Certification of Chief Executive Officer</w:t>
            </w:r>
          </w:p>
        </w:tc>
      </w:tr>
      <w:tr>
        <w:trPr>
          <w:trHeight w:val="20"/>
        </w:trPr>
        <w:tc>
          <w:tcPr>
            <w:tcW w:w="102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2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Compensation Recovery Policy (incorporated by reference to exhibit 97.1 of the Company’s annual report Form 10-K for the year ended</w:t>
            </w:r>
          </w:p>
        </w:tc>
      </w:tr>
      <w:tr>
        <w:trPr>
          <w:trHeight w:val="196"/>
        </w:trPr>
        <w:tc>
          <w:tcPr>
            <w:tcW w:w="10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December 31, 2024 filed with the Securities and Exchange Commission on March 20, 2025)</w:t>
            </w: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6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5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under the Securities Act. The Company agrees to furnish supplementally any omitted schedules to the Securities and Exchange Commission upon request.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Gary Schubert</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 Principal Financial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48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Gary Schubert</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189"/>
        </w:trPr>
        <w:tc>
          <w:tcPr>
            <w:tcW w:w="3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Gary Schubert</w:t>
            </w:r>
          </w:p>
        </w:tc>
        <w:tc>
          <w:tcPr>
            <w:tcW w:w="120" w:type="dxa"/>
            <w:vAlign w:val="bottom"/>
          </w:tcPr>
          <w:p>
            <w:pPr>
              <w:spacing w:after="0"/>
              <w:rPr>
                <w:sz w:val="16"/>
                <w:szCs w:val="16"/>
                <w:color w:val="auto"/>
              </w:rPr>
            </w:pPr>
          </w:p>
        </w:tc>
        <w:tc>
          <w:tcPr>
            <w:tcW w:w="48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 Principal Financial and Accounting</w:t>
            </w:r>
          </w:p>
        </w:tc>
        <w:tc>
          <w:tcPr>
            <w:tcW w:w="120" w:type="dxa"/>
            <w:vAlign w:val="bottom"/>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r>
      <w:tr>
        <w:trPr>
          <w:trHeight w:val="236"/>
        </w:trPr>
        <w:tc>
          <w:tcPr>
            <w:tcW w:w="338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280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James C. Pappas</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C. Pappas</w:t>
            </w:r>
          </w:p>
        </w:tc>
        <w:tc>
          <w:tcPr>
            <w:tcW w:w="120" w:type="dxa"/>
            <w:vAlign w:val="bottom"/>
          </w:tcPr>
          <w:p>
            <w:pPr>
              <w:spacing w:after="0"/>
              <w:rPr>
                <w:sz w:val="19"/>
                <w:szCs w:val="19"/>
                <w:color w:val="auto"/>
              </w:rPr>
            </w:pPr>
          </w:p>
        </w:tc>
        <w:tc>
          <w:tcPr>
            <w:tcW w:w="4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Brady Smallwood</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Brady Smallwood</w:t>
            </w:r>
          </w:p>
        </w:tc>
        <w:tc>
          <w:tcPr>
            <w:tcW w:w="120" w:type="dxa"/>
            <w:vAlign w:val="bottom"/>
          </w:tcPr>
          <w:p>
            <w:pPr>
              <w:spacing w:after="0"/>
              <w:rPr>
                <w:sz w:val="19"/>
                <w:szCs w:val="19"/>
                <w:color w:val="auto"/>
              </w:rPr>
            </w:pPr>
          </w:p>
        </w:tc>
        <w:tc>
          <w:tcPr>
            <w:tcW w:w="4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Mark Schmulen</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Schmulen</w:t>
            </w:r>
          </w:p>
        </w:tc>
        <w:tc>
          <w:tcPr>
            <w:tcW w:w="120" w:type="dxa"/>
            <w:vAlign w:val="bottom"/>
          </w:tcPr>
          <w:p>
            <w:pPr>
              <w:spacing w:after="0"/>
              <w:rPr>
                <w:sz w:val="19"/>
                <w:szCs w:val="19"/>
                <w:color w:val="auto"/>
              </w:rPr>
            </w:pPr>
          </w:p>
        </w:tc>
        <w:tc>
          <w:tcPr>
            <w:tcW w:w="4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Denver J. Smith</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28"/>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Denver J. Smith</w:t>
            </w:r>
          </w:p>
        </w:tc>
        <w:tc>
          <w:tcPr>
            <w:tcW w:w="120" w:type="dxa"/>
            <w:vAlign w:val="bottom"/>
          </w:tcPr>
          <w:p>
            <w:pPr>
              <w:spacing w:after="0"/>
              <w:rPr>
                <w:sz w:val="19"/>
                <w:szCs w:val="19"/>
                <w:color w:val="auto"/>
              </w:rPr>
            </w:pPr>
          </w:p>
        </w:tc>
        <w:tc>
          <w:tcPr>
            <w:tcW w:w="4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top w:val="single" w:sz="8" w:color="auto"/>
            </w:tcBorders>
          </w:tcPr>
          <w:p>
            <w:pPr>
              <w:spacing w:after="0"/>
              <w:rPr>
                <w:sz w:val="19"/>
                <w:szCs w:val="19"/>
                <w:color w:val="auto"/>
              </w:rPr>
            </w:pPr>
          </w:p>
        </w:tc>
      </w:tr>
      <w:tr>
        <w:trPr>
          <w:trHeight w:val="637"/>
        </w:trPr>
        <w:tc>
          <w:tcPr>
            <w:tcW w:w="33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2"/>
          </w:tcPr>
          <w:p>
            <w:pPr>
              <w:jc w:val="right"/>
              <w:ind w:right="25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1" w:name="page72"/>
    <w:bookmarkEnd w:id="7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Innovative Food Holdings, Inc. and Subsidiaries;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2" w:name="page73"/>
    <w:bookmarkEnd w:id="7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Schubert,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Innovative Food Holdings, Inc. and Subsidiaries;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3" w:name="page74"/>
    <w:bookmarkEnd w:id="7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Innovative Food Holdings, Inc. and Subsidiaries (the “Company”) on Form 10-K for the year ended December 31, 2025 as filed with the Securities and Exchange Commission on the date hereof (the “Report”), I, Gary Schubert,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Schubert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 and Principal Financial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ectPr>
          <w:pgSz w:w="11900" w:h="16838" w:orient="portrait"/>
          <w:cols w:equalWidth="0" w:num="1">
            <w:col w:w="11240"/>
          </w:cols>
          <w:pgMar w:left="320" w:top="117" w:right="339" w:bottom="1440" w:gutter="0" w:footer="0" w:header="0"/>
        </w:sectPr>
      </w:pPr>
    </w:p>
    <w:bookmarkStart w:id="74" w:name="page75"/>
    <w:bookmarkEnd w:id="74"/>
    <w:p>
      <w:pPr>
        <w:ind w:left="101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CLAWBACK POLICY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Innovative Food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 following executive compensation clawback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shall supplement any other clawback or compensation recovery policy or policies adopted by the Company or included in any agreement between the Company, or any subsidiary of the Company, and a person covered by this Policy. If any such other policy or agreement provides that a greater amount of compensation shall be subject to clawback, such other policy or agreement shall apply to the amount in excess of the amount subject to clawback under this Policy.</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Policy shall be interpreted to comply with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 10D-1 and Listing Rule 5608 (the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as may be amended or supplemented and interpreted from time to time by Nasdaq.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is any manner deemed inconsistent with the Listing Rule, this Policy shall be treated as having been amended to be compliant with the Listing Rule.</w:t>
      </w:r>
    </w:p>
    <w:p>
      <w:pPr>
        <w:spacing w:after="0" w:line="176" w:lineRule="exact"/>
        <w:rPr>
          <w:sz w:val="20"/>
          <w:szCs w:val="20"/>
          <w:color w:val="auto"/>
        </w:rPr>
      </w:pPr>
    </w:p>
    <w:p>
      <w:pPr>
        <w:ind w:left="840" w:hanging="184"/>
        <w:spacing w:after="0"/>
        <w:tabs>
          <w:tab w:leader="none" w:pos="8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Unless the context otherwise the following definitions apply for purposes of this Policy:</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Executive Officer</w:t>
      </w:r>
      <w:r>
        <w:rPr>
          <w:rFonts w:ascii="Times New Roman" w:cs="Times New Roman" w:eastAsia="Times New Roman" w:hAnsi="Times New Roman"/>
          <w:sz w:val="18"/>
          <w:szCs w:val="18"/>
          <w:color w:val="auto"/>
        </w:rPr>
        <w:t>. An executive officer is the Company’s chief executive officer, chief financial officer, principal accounting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Policy-making function is not intended to include policy-making functions that are not significant. Identification of an executive officer for purposes of the Listing Rule would include at a minimum executive officers identified in the Listing Rule.</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Financial Reporting Measures</w:t>
      </w:r>
      <w:r>
        <w:rPr>
          <w:rFonts w:ascii="Times New Roman" w:cs="Times New Roman" w:eastAsia="Times New Roman" w:hAnsi="Times New Roman"/>
          <w:sz w:val="18"/>
          <w:szCs w:val="18"/>
          <w:color w:val="auto"/>
        </w:rPr>
        <w:t>. Financial reporting measures are measures that are determined and presented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and may be such financial measures as may be determined by the Board or the Compensation Committee thereof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1304"/>
        <w:spacing w:after="0" w:line="286"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Incentive-Based Compensation</w:t>
      </w:r>
      <w:r>
        <w:rPr>
          <w:rFonts w:ascii="Times New Roman" w:cs="Times New Roman" w:eastAsia="Times New Roman" w:hAnsi="Times New Roman"/>
          <w:sz w:val="18"/>
          <w:szCs w:val="18"/>
          <w:color w:val="auto"/>
        </w:rPr>
        <w:t>. Incentive-based compensation is any compensation that is granted, earned or vested based wholly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part upon the attainment of a financial reporting measure.</w:t>
      </w:r>
    </w:p>
    <w:p>
      <w:pPr>
        <w:spacing w:after="0" w:line="15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 specified in the incentive-based compensation award is attained, even if the payment or grant of the incentive-based compensation occurs after the end of that period.</w:t>
      </w:r>
    </w:p>
    <w:p>
      <w:pPr>
        <w:spacing w:after="0" w:line="170"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Application of this Policy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recovery of Incentive-Based Compensation from an Executive Officer as provided for in this Policy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only in the event that the Company is required to prepare an accounting restatement due to the material noncompliance of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7830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jc w:val="both"/>
        <w:ind w:firstLine="8"/>
        <w:spacing w:after="0" w:line="210" w:lineRule="auto"/>
        <w:tabs>
          <w:tab w:leader="none" w:pos="128"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questions as to “materiality” will be made by the Audit Committee as part of the restatement process. Companies should review the charters for Audit and Compensation committees and consider updates authorizing them to oversee and make applicable determinations under the company’s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ind w:left="840" w:hanging="184"/>
        <w:spacing w:after="0"/>
        <w:tabs>
          <w:tab w:leader="none" w:pos="84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Recovery Period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3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Incentive-Based Compensation subject to recovery is the Incentive-Based Compensation Received during the three (3) completed fiscal years immediately preceding the date that the Company is required to prepare an accounting restatement as described in Section 2 above, provided that the person served as an Executive Officer at any time during the performance period applicable to the Incentive-Based Compensation in question. The date that the Company is required to prepare an accounting restatement shall be determined pursuant to the Listing Rule.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Policy shall only apply if the Incentive-Based Compensation is Received (i) while the Company has a class of securities listed on Nasdaq and (ii) on or after October 2, 2023.</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Listing Rule shall apply with respect to Incentive-Based Compensation received during a transition period arising due to a change in the Company’s fiscal year.</w:t>
      </w:r>
    </w:p>
    <w:p>
      <w:pPr>
        <w:spacing w:after="0" w:line="157" w:lineRule="exact"/>
        <w:rPr>
          <w:rFonts w:ascii="Times New Roman" w:cs="Times New Roman" w:eastAsia="Times New Roman" w:hAnsi="Times New Roman"/>
          <w:sz w:val="18"/>
          <w:szCs w:val="18"/>
          <w:color w:val="auto"/>
        </w:rPr>
      </w:pPr>
    </w:p>
    <w:p>
      <w:pPr>
        <w:jc w:val="both"/>
        <w:ind w:firstLine="656"/>
        <w:spacing w:after="0" w:line="254" w:lineRule="auto"/>
        <w:tabs>
          <w:tab w:leader="none" w:pos="855"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Erroneously Awarded Compensation</w:t>
      </w:r>
      <w:r>
        <w:rPr>
          <w:rFonts w:ascii="Times New Roman" w:cs="Times New Roman" w:eastAsia="Times New Roman" w:hAnsi="Times New Roman"/>
          <w:sz w:val="18"/>
          <w:szCs w:val="18"/>
          <w:color w:val="auto"/>
        </w:rPr>
        <w:t>. The amount of Incentive-Based Compensation subject to recovery from the applicable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under this Policy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shall be equal to the amount of Incentive-Based Compensation Received that exceeds the amount of Incentive Based-Compensation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shall be based on a reasonable estimate by the Company’s Chief Financial Officer (or principal accounting officer, if the office of Chief Financial Officer is not then filled) of the effect of the accounting restatement on the stock price or total shareholder return upon which the Incentive-Based Compensation was received, which estimate shall be subject to the review and approval of the Compensation Committee; and (b) the Company must maintain reasonable documentation of the determination of that reasonable estimate and provide such documentation to Nasdaq if requested. Notwithstanding the foregoing, if the proposed Incentive-Based Compensation recovery would affect compensation paid to the Company’s Chief Financial Officer, the determination shall be made by the Compensation Committee.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82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Timing of Recovery</w:t>
      </w:r>
      <w:r>
        <w:rPr>
          <w:rFonts w:ascii="Times New Roman" w:cs="Times New Roman" w:eastAsia="Times New Roman" w:hAnsi="Times New Roman"/>
          <w:sz w:val="18"/>
          <w:szCs w:val="18"/>
          <w:color w:val="auto"/>
        </w:rPr>
        <w:t>. The Company shall recover any Erroneously Awarded Compensation reasonably promptly except to the extent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paragraphs (a), (b), or (c) below apply. The Compensation Committee shall determine the repayment schedule for each amount of Erroneously Awarded Compensation in a manner that complies with this “reasonably promptly” requirement. Such determination shall be consistent with any applicable legal guidance by the SEC, Nasdaq, judicial opinion, or otherwise. The determination of “reasonably promptly” may vary from case to case and the Compensation Committee is authorized to adopt additional rules or policies to further describe what repayment schedules satisfy this requirement.</w:t>
      </w:r>
    </w:p>
    <w:p>
      <w:pPr>
        <w:spacing w:after="0" w:line="183"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54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the direct expense paid to a third party to assist in enforcing (or making determinations in connection with the enforcement of) this Policy would exceed the amount to be recovered and the Compensation Committee has made a determination that recovery would be impracticable. Before concluding that it would be impracticable to recover any amount of Erroneously Awarded Compensation based on expense of enforcement, the Company shall (i) make a reasonable attempt to recover such Erroneously Awarded Compensation,</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such reasonable attempt or attempts to recover, and (iii) provide appropriate documentation to the Compensation Committee or Nasdaq, if requested.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left="-8" w:firstLine="1304"/>
        <w:spacing w:after="0" w:line="261" w:lineRule="auto"/>
        <w:tabs>
          <w:tab w:leader="none" w:pos="155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recovery would violate home country law where that law was adopted prior to November 28, 2022. Before concluding that it would be impracticable to recover any amount of Erroneously Awarded Compensation based on a violation of home country law, the Company shall obtain an opinion of home country counsel, in form an substance that would be reasonably acceptable to Nasdaq, that recovery would result in such a violation and shall provide such opinion to Nasdaq, if requested.</w:t>
      </w:r>
    </w:p>
    <w:p>
      <w:pPr>
        <w:spacing w:after="0" w:line="179" w:lineRule="exact"/>
        <w:rPr>
          <w:rFonts w:ascii="Times New Roman" w:cs="Times New Roman" w:eastAsia="Times New Roman" w:hAnsi="Times New Roman"/>
          <w:sz w:val="18"/>
          <w:szCs w:val="18"/>
          <w:color w:val="auto"/>
        </w:rPr>
      </w:pPr>
    </w:p>
    <w:p>
      <w:pPr>
        <w:jc w:val="both"/>
        <w:ind w:left="-8" w:right="20" w:firstLine="1304"/>
        <w:spacing w:after="0" w:line="266" w:lineRule="auto"/>
        <w:tabs>
          <w:tab w:leader="none" w:pos="153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need not be recovered if recovery would likely cause an otherwise tax-qualified retirement plan, under which benefits are broadly available to employees of the Company, to fail to meet the requirements of 26 U.S.C. 401(a)(13) or 26 U.S.C. 411(a) and the regulations thereunder (as such provision may be amended, modified or supplemented).</w:t>
      </w:r>
    </w:p>
    <w:p>
      <w:pPr>
        <w:spacing w:after="0" w:line="171" w:lineRule="exact"/>
        <w:rPr>
          <w:rFonts w:ascii="Times New Roman" w:cs="Times New Roman" w:eastAsia="Times New Roman" w:hAnsi="Times New Roman"/>
          <w:sz w:val="18"/>
          <w:szCs w:val="18"/>
          <w:color w:val="auto"/>
        </w:rPr>
      </w:pPr>
    </w:p>
    <w:p>
      <w:pPr>
        <w:ind w:left="-8" w:firstLine="656"/>
        <w:spacing w:after="0" w:line="286" w:lineRule="auto"/>
        <w:tabs>
          <w:tab w:leader="none" w:pos="83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Committee Decisions</w:t>
      </w:r>
      <w:r>
        <w:rPr>
          <w:rFonts w:ascii="Times New Roman" w:cs="Times New Roman" w:eastAsia="Times New Roman" w:hAnsi="Times New Roman"/>
          <w:sz w:val="18"/>
          <w:szCs w:val="18"/>
          <w:color w:val="auto"/>
        </w:rPr>
        <w:t>. Decisions of the Compensation Committee with respect to this Policy shall be final, conclusive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on all Executive Officers subject to this Policy.</w:t>
      </w:r>
    </w:p>
    <w:p>
      <w:pPr>
        <w:spacing w:after="0" w:line="154" w:lineRule="exact"/>
        <w:rPr>
          <w:rFonts w:ascii="Times New Roman" w:cs="Times New Roman" w:eastAsia="Times New Roman" w:hAnsi="Times New Roman"/>
          <w:sz w:val="18"/>
          <w:szCs w:val="18"/>
          <w:b w:val="1"/>
          <w:bCs w:val="1"/>
          <w:color w:val="auto"/>
        </w:rPr>
      </w:pPr>
    </w:p>
    <w:p>
      <w:pPr>
        <w:jc w:val="both"/>
        <w:ind w:left="-8" w:firstLine="656"/>
        <w:spacing w:after="0" w:line="268" w:lineRule="auto"/>
        <w:tabs>
          <w:tab w:leader="none" w:pos="833"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w:t>
      </w:r>
      <w:r>
        <w:rPr>
          <w:rFonts w:ascii="Times New Roman" w:cs="Times New Roman" w:eastAsia="Times New Roman" w:hAnsi="Times New Roman"/>
          <w:sz w:val="18"/>
          <w:szCs w:val="18"/>
          <w:color w:val="auto"/>
        </w:rPr>
        <w:t>. Notwithstanding anything to the contrary in any other policy of the Company or any agreement between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 Executive Officer, no Executive Officer shall be indemnified by the Company against the loss arising from the recovery of any Erroneously Awarded Compensation.</w:t>
      </w:r>
    </w:p>
    <w:p>
      <w:pPr>
        <w:spacing w:after="0" w:line="174" w:lineRule="exact"/>
        <w:rPr>
          <w:rFonts w:ascii="Times New Roman" w:cs="Times New Roman" w:eastAsia="Times New Roman" w:hAnsi="Times New Roman"/>
          <w:sz w:val="18"/>
          <w:szCs w:val="18"/>
          <w:b w:val="1"/>
          <w:bCs w:val="1"/>
          <w:color w:val="auto"/>
        </w:rPr>
      </w:pPr>
    </w:p>
    <w:p>
      <w:pPr>
        <w:jc w:val="both"/>
        <w:ind w:left="-8" w:firstLine="656"/>
        <w:spacing w:after="0" w:line="232" w:lineRule="auto"/>
        <w:tabs>
          <w:tab w:leader="none" w:pos="8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 to Policy by Executive Officers</w:t>
      </w:r>
      <w:r>
        <w:rPr>
          <w:rFonts w:ascii="Times New Roman" w:cs="Times New Roman" w:eastAsia="Times New Roman" w:hAnsi="Times New Roman"/>
          <w:sz w:val="29"/>
          <w:szCs w:val="29"/>
          <w:b w:val="1"/>
          <w:bCs w:val="1"/>
          <w:u w:val="single" w:color="auto"/>
          <w:color w:val="auto"/>
          <w:vertAlign w:val="superscript"/>
        </w:rPr>
        <w:t>2</w:t>
      </w:r>
      <w:r>
        <w:rPr>
          <w:rFonts w:ascii="Times New Roman" w:cs="Times New Roman" w:eastAsia="Times New Roman" w:hAnsi="Times New Roman"/>
          <w:sz w:val="18"/>
          <w:szCs w:val="18"/>
          <w:color w:val="auto"/>
        </w:rPr>
        <w:t>. The Company shall take reasonable steps to inform Executive Officers of this Policy and obtain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express agreement to this Policy, which steps may constitute the inclusion of this Policy as an attachment to any award that is accepted by an Executive Officer. This Policy shall be deemed to apply to each employment or grant agreement between the Company or any of its subsidiaries and any Executive Officer subject to this Policy.</w:t>
      </w:r>
    </w:p>
    <w:p>
      <w:pPr>
        <w:spacing w:after="0" w:line="198" w:lineRule="exact"/>
        <w:rPr>
          <w:rFonts w:ascii="Times New Roman" w:cs="Times New Roman" w:eastAsia="Times New Roman" w:hAnsi="Times New Roman"/>
          <w:sz w:val="18"/>
          <w:szCs w:val="18"/>
          <w:b w:val="1"/>
          <w:bCs w:val="1"/>
          <w:color w:val="auto"/>
        </w:rPr>
      </w:pPr>
    </w:p>
    <w:p>
      <w:pPr>
        <w:ind w:left="5572" w:hanging="136"/>
        <w:spacing w:after="0"/>
        <w:tabs>
          <w:tab w:leader="none" w:pos="557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 w:right="20" w:firstLine="8"/>
        <w:spacing w:after="0" w:line="195" w:lineRule="auto"/>
        <w:tabs>
          <w:tab w:leader="none" w:pos="124"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Companies should be advised to have the executive officers acknowledge this in writing (similar to the Insider trading Policy acknowledgement). Also consider if amendments should be made to employment agreements, grant award forms, etc.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32"/>
      </w:cols>
      <w:pgMar w:left="328"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lvl w:ilvl="1">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lowerRoman"/>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2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lvl w:ilvl="1">
      <w:lvlJc w:val="left"/>
      <w:lvlText w:val="%2)"/>
      <w:numFmt w:val="lowerLetter"/>
      <w:start w:val="1"/>
    </w:lvl>
  </w:abstractNum>
  <w:abstractNum w:abstractNumId="31">
    <w:nsid w:val="5072367"/>
    <w:multiLevelType w:val="hybridMultilevel"/>
    <w:lvl w:ilvl="0">
      <w:lvlJc w:val="left"/>
      <w:lvlText w:val="%1."/>
      <w:numFmt w:val="decimal"/>
      <w:start w:val="1"/>
    </w:lvl>
    <w:lvl w:ilvl="1">
      <w:lvlJc w:val="left"/>
      <w:lvlText w:val="%2)"/>
      <w:numFmt w:val="lowerLetter"/>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bullet"/>
      <w:start w:val="1"/>
    </w:lvl>
  </w:abstractNum>
  <w:abstractNum w:abstractNumId="35">
    <w:nsid w:val="5C482A97"/>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6">
    <w:nsid w:val="2463B9E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8">
    <w:nsid w:val="51EAD36B"/>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9">
    <w:nsid w:val="2D51779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4" Type="http://schemas.openxmlformats.org/officeDocument/2006/relationships/image" Target="media/image91.png"/><Relationship Id="rId144" Type="http://schemas.openxmlformats.org/officeDocument/2006/relationships/image" Target="media/image92.png"/><Relationship Id="rId145" Type="http://schemas.openxmlformats.org/officeDocument/2006/relationships/image" Target="media/image93.png"/><Relationship Id="rId146" Type="http://schemas.openxmlformats.org/officeDocument/2006/relationships/image" Target="media/image94.png"/><Relationship Id="rId147" Type="http://schemas.openxmlformats.org/officeDocument/2006/relationships/image" Target="media/image95.png"/><Relationship Id="rId148" Type="http://schemas.openxmlformats.org/officeDocument/2006/relationships/image" Target="media/image96.png"/><Relationship Id="rId149" Type="http://schemas.openxmlformats.org/officeDocument/2006/relationships/image" Target="media/image97.png"/><Relationship Id="rId150" Type="http://schemas.openxmlformats.org/officeDocument/2006/relationships/image" Target="media/image98.png"/><Relationship Id="rId151" Type="http://schemas.openxmlformats.org/officeDocument/2006/relationships/image" Target="media/image99.png"/><Relationship Id="rId152" Type="http://schemas.openxmlformats.org/officeDocument/2006/relationships/image" Target="media/image100.png"/><Relationship Id="rId153" Type="http://schemas.openxmlformats.org/officeDocument/2006/relationships/image" Target="media/image101.png"/><Relationship Id="rId154" Type="http://schemas.openxmlformats.org/officeDocument/2006/relationships/image" Target="media/image102.png"/><Relationship Id="rId98" Type="http://schemas.openxmlformats.org/officeDocument/2006/relationships/hyperlink" Target="http://www.sec.gov/Archives/edgar/data/312257/000114420405030172/v025859_ex3-1.htm" TargetMode="External"/><Relationship Id="rId99" Type="http://schemas.openxmlformats.org/officeDocument/2006/relationships/hyperlink" Target="http://www.sec.gov/Archives/edgar/data/312257/000118518511000325/ex3-2.htm" TargetMode="External"/><Relationship Id="rId100" Type="http://schemas.openxmlformats.org/officeDocument/2006/relationships/hyperlink" Target="http://www.sec.gov/Archives/edgar/data/312257/000118518512000163/ex3-1.htm" TargetMode="External"/><Relationship Id="rId101" Type="http://schemas.openxmlformats.org/officeDocument/2006/relationships/hyperlink" Target="http://www.sec.gov/Archives/edgar/data/312257/000118518518000100/ex3-ii.htm" TargetMode="External"/><Relationship Id="rId102" Type="http://schemas.openxmlformats.org/officeDocument/2006/relationships/hyperlink" Target="http://www.sec.gov/Archives/edgar/data/312257/000118518523000204/ex_488087.htm" TargetMode="External"/><Relationship Id="rId103" Type="http://schemas.openxmlformats.org/officeDocument/2006/relationships/hyperlink" Target="http://www.sec.gov/Archives/edgar/data/312257/000118518523000574/ex_524877.htm" TargetMode="External"/><Relationship Id="rId104" Type="http://schemas.openxmlformats.org/officeDocument/2006/relationships/hyperlink" Target="http://www.sec.gov/Archives/edgar/data/312257/000118518525000204/ivfhex4-1.htm" TargetMode="External"/><Relationship Id="rId105" Type="http://schemas.openxmlformats.org/officeDocument/2006/relationships/hyperlink" Target="http://www.sec.gov/Archives/edgar/data/312257/000118518518000131/ex10-2.htm" TargetMode="External"/><Relationship Id="rId106" Type="http://schemas.openxmlformats.org/officeDocument/2006/relationships/hyperlink" Target="http://www.sec.gov/Archives/edgar/data/312257/000118518518000523/ex10-28.htm" TargetMode="External"/><Relationship Id="rId107" Type="http://schemas.openxmlformats.org/officeDocument/2006/relationships/hyperlink" Target="http://www.sec.gov/Archives/edgar/data/312257/000118518518000523/ex10-29.htm" TargetMode="External"/><Relationship Id="rId108" Type="http://schemas.openxmlformats.org/officeDocument/2006/relationships/hyperlink" Target="http://www.sec.gov/Archives/edgar/data/312257/000118518518000523/ex10-30.htm" TargetMode="External"/><Relationship Id="rId109" Type="http://schemas.openxmlformats.org/officeDocument/2006/relationships/hyperlink" Target="http://www.sec.gov/Archives/edgar/data/312257/000118518518000523/ex10-31.htm" TargetMode="External"/><Relationship Id="rId110" Type="http://schemas.openxmlformats.org/officeDocument/2006/relationships/hyperlink" Target="http://www.sec.gov/Archives/edgar/data/312257/000118518519000138/ex_133866.htm" TargetMode="External"/><Relationship Id="rId111" Type="http://schemas.openxmlformats.org/officeDocument/2006/relationships/hyperlink" Target="http://www.sec.gov/Archives/edgar/data/312257/000118518519001610/ex_164754.htm" TargetMode="External"/><Relationship Id="rId112" Type="http://schemas.openxmlformats.org/officeDocument/2006/relationships/hyperlink" Target="http://www.sec.gov/Archives/edgar/data/312257/000118518519001610/ex_164951.htm" TargetMode="External"/><Relationship Id="rId113" Type="http://schemas.openxmlformats.org/officeDocument/2006/relationships/hyperlink" Target="http://www.sec.gov/Archives/edgar/data/312257/000118518519001610/ex_164952.htm" TargetMode="External"/><Relationship Id="rId115" Type="http://schemas.openxmlformats.org/officeDocument/2006/relationships/hyperlink" Target="http://www.sec.gov/Archives/edgar/data/312257/000118518519001152/ex_155331.htm" TargetMode="External"/><Relationship Id="rId116" Type="http://schemas.openxmlformats.org/officeDocument/2006/relationships/hyperlink" Target="http://www.sec.gov/Archives/edgar/data/312257/000118518521001227/ex_280161.htm" TargetMode="External"/><Relationship Id="rId117" Type="http://schemas.openxmlformats.org/officeDocument/2006/relationships/hyperlink" Target="http://www.sec.gov/Archives/edgar/data/312257/000118518522000739/ex_386812.htm" TargetMode="External"/><Relationship Id="rId118" Type="http://schemas.openxmlformats.org/officeDocument/2006/relationships/hyperlink" Target="http://www.sec.gov/Archives/edgar/data/312257/000118518522000739/ex_386652.htm" TargetMode="External"/><Relationship Id="rId119" Type="http://schemas.openxmlformats.org/officeDocument/2006/relationships/hyperlink" Target="http://www.sec.gov/Archives/edgar/data/312257/000118518522000739/ex_386700.htm" TargetMode="External"/><Relationship Id="rId120" Type="http://schemas.openxmlformats.org/officeDocument/2006/relationships/hyperlink" Target="http://www.sec.gov/Archives/edgar/data/312257/000118518522001363/ex_451196.htm" TargetMode="External"/><Relationship Id="rId121" Type="http://schemas.openxmlformats.org/officeDocument/2006/relationships/hyperlink" Target="http://www.sec.gov/Archives/edgar/data/312257/000118518523000092/ex_472175.htm" TargetMode="External"/><Relationship Id="rId122" Type="http://schemas.openxmlformats.org/officeDocument/2006/relationships/hyperlink" Target="http://www.sec.gov/Archives/edgar/data/312257/000118518523001161/ex_594404.htm" TargetMode="External"/><Relationship Id="rId123" Type="http://schemas.openxmlformats.org/officeDocument/2006/relationships/hyperlink" Target="http://www.sec.gov/Archives/edgar/data/312257/000118518523000537/ex_522254.htm" TargetMode="External"/><Relationship Id="rId124" Type="http://schemas.openxmlformats.org/officeDocument/2006/relationships/hyperlink" Target="http://www.sec.gov/Archives/edgar/data/312257/000118518523000712/ex_542889.htm" TargetMode="External"/><Relationship Id="rId125" Type="http://schemas.openxmlformats.org/officeDocument/2006/relationships/hyperlink" Target="http://www.sec.gov/Archives/edgar/data/312257/000118518524000018/ex_611646.htm" TargetMode="External"/><Relationship Id="rId126" Type="http://schemas.openxmlformats.org/officeDocument/2006/relationships/hyperlink" Target="http://www.sec.gov/Archives/edgar/data/312257/000118518524000868/ex_721326.htm" TargetMode="External"/><Relationship Id="rId127" Type="http://schemas.openxmlformats.org/officeDocument/2006/relationships/hyperlink" Target="http://www.sec.gov/Archives/edgar/data/312257/000118518524000868/ex_721327.htm" TargetMode="External"/><Relationship Id="rId128" Type="http://schemas.openxmlformats.org/officeDocument/2006/relationships/hyperlink" Target="http://www.sec.gov/Archives/edgar/data/312257/000118518524001009/ex_734542.htm" TargetMode="External"/><Relationship Id="rId129" Type="http://schemas.openxmlformats.org/officeDocument/2006/relationships/hyperlink" Target="http://www.sec.gov/Archives/edgar/data/312257/000118518524001009/ex_734543.htm" TargetMode="External"/><Relationship Id="rId130" Type="http://schemas.openxmlformats.org/officeDocument/2006/relationships/hyperlink" Target="http://www.sec.gov/Archives/edgar/data/312257/000118518524000174/ex_627580.htm" TargetMode="External"/><Relationship Id="rId131" Type="http://schemas.openxmlformats.org/officeDocument/2006/relationships/hyperlink" Target="http://www.sec.gov/Archives/edgar/data/312257/000118518525000204/ivfhex10-26.htm" TargetMode="External"/><Relationship Id="rId132" Type="http://schemas.openxmlformats.org/officeDocument/2006/relationships/hyperlink" Target="http://www.sec.gov/Archives/edgar/data/312257/000118518525000064/ex_772636.htm" TargetMode="External"/><Relationship Id="rId133" Type="http://schemas.openxmlformats.org/officeDocument/2006/relationships/hyperlink" Target="http://www.sec.gov/Archives/edgar/data/312257/000118518525000883/ivfhex10-1.htm" TargetMode="External"/><Relationship Id="rId134" Type="http://schemas.openxmlformats.org/officeDocument/2006/relationships/hyperlink" Target="http://www.sec.gov/Archives/edgar/data/312257/000118518525001214/ivfhex10-1.htm" TargetMode="External"/><Relationship Id="rId135" Type="http://schemas.openxmlformats.org/officeDocument/2006/relationships/hyperlink" Target="http://www.sec.gov/Archives/edgar/data/312257/000118518525001378/ivfhex10-1.htm" TargetMode="External"/><Relationship Id="rId136" Type="http://schemas.openxmlformats.org/officeDocument/2006/relationships/hyperlink" Target="http://www.sec.gov/Archives/edgar/data/312257/000118518525001413/ivfhex10-1.htm" TargetMode="External"/><Relationship Id="rId137" Type="http://schemas.openxmlformats.org/officeDocument/2006/relationships/hyperlink" Target="http://www.sec.gov/Archives/edgar/data/312257/000118518525001413/ivfhex10-2.htm" TargetMode="External"/><Relationship Id="rId138" Type="http://schemas.openxmlformats.org/officeDocument/2006/relationships/hyperlink" Target="http://www.sec.gov/Archives/edgar/data/312257/000118518525001725/ivfhex10-1.htm" TargetMode="External"/><Relationship Id="rId139" Type="http://schemas.openxmlformats.org/officeDocument/2006/relationships/hyperlink" Target="http://www.sec.gov/Archives/edgar/data/312257/000118518523000712/ex_542890.htm" TargetMode="External"/><Relationship Id="rId140" Type="http://schemas.openxmlformats.org/officeDocument/2006/relationships/hyperlink" Target="http://www.sec.gov/Archives/edgar/data/312257/000118518525000385/ivfhex16-1.htm" TargetMode="External"/><Relationship Id="rId141" Type="http://schemas.openxmlformats.org/officeDocument/2006/relationships/hyperlink" Target="http://www.sec.gov/Archives/edgar/data/312257/000118518525001258/ivfhex16-1.htm" TargetMode="External"/><Relationship Id="rId142" Type="http://schemas.openxmlformats.org/officeDocument/2006/relationships/hyperlink" Target="http://www.sec.gov/Archives/edgar/data/312257/000118518525000204/ivfhex19-1.htm" TargetMode="External"/><Relationship Id="rId143" Type="http://schemas.openxmlformats.org/officeDocument/2006/relationships/hyperlink" Target="http://www.sec.gov/Archives/edgar/data/312257/000118518525000204/ivfh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2026-03-31T11:42:33Z</dcterms:created>
  <dcterms:modified xsi:type="dcterms:W3CDTF">2026-03-31T11:42:33Z</dcterms:modified>
</cp:coreProperties>
</file>