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133350</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155575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left="3820" w:right="720" w:hanging="3090"/>
        <w:spacing w:after="0" w:line="464" w:lineRule="auto"/>
        <w:tabs>
          <w:tab w:leader="none" w:pos="94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AND EXCHANGE ACT OF 1934 For the quarterly period ended March 31, 2025</w:t>
      </w:r>
    </w:p>
    <w:p>
      <w:pPr>
        <w:spacing w:after="0" w:line="36" w:lineRule="exact"/>
        <w:rPr>
          <w:rFonts w:ascii="MS PGothic" w:cs="MS PGothic" w:eastAsia="MS PGothic" w:hAnsi="MS PGothic"/>
          <w:sz w:val="18"/>
          <w:szCs w:val="18"/>
          <w:color w:val="auto"/>
          <w:highlight w:val="black"/>
        </w:rPr>
      </w:pPr>
    </w:p>
    <w:p>
      <w:pPr>
        <w:ind w:left="1720" w:hanging="209"/>
        <w:spacing w:after="0"/>
        <w:tabs>
          <w:tab w:leader="none" w:pos="172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EXCHANGE ACT OF 1934</w:t>
      </w:r>
    </w:p>
    <w:p>
      <w:pPr>
        <w:spacing w:after="0" w:line="202" w:lineRule="exact"/>
        <w:rPr>
          <w:sz w:val="24"/>
          <w:szCs w:val="24"/>
          <w:color w:val="auto"/>
        </w:rPr>
      </w:pPr>
    </w:p>
    <w:tbl>
      <w:tblPr>
        <w:tblLayout w:type="fixed"/>
        <w:tblInd w:w="32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080" w:type="dxa"/>
            <w:vAlign w:val="bottom"/>
            <w:tcBorders>
              <w:bottom w:val="single" w:sz="8" w:color="auto"/>
            </w:tcBorders>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98"/>
        </w:trPr>
        <w:tc>
          <w:tcPr>
            <w:tcW w:w="4760" w:type="dxa"/>
            <w:vAlign w:val="bottom"/>
            <w:gridSpan w:val="6"/>
          </w:tcPr>
          <w:p>
            <w:pPr>
              <w:ind w:left="1000"/>
              <w:spacing w:after="0"/>
              <w:rPr>
                <w:sz w:val="20"/>
                <w:szCs w:val="20"/>
                <w:color w:val="auto"/>
              </w:rPr>
            </w:pPr>
            <w:r>
              <w:rPr>
                <w:rFonts w:ascii="Times New Roman" w:cs="Times New Roman" w:eastAsia="Times New Roman" w:hAnsi="Times New Roman"/>
                <w:sz w:val="18"/>
                <w:szCs w:val="18"/>
                <w:b w:val="1"/>
                <w:bCs w:val="1"/>
                <w:color w:val="auto"/>
              </w:rPr>
              <w:t>Commission File Number: 000-09376</w:t>
            </w:r>
          </w:p>
        </w:tc>
        <w:tc>
          <w:tcPr>
            <w:tcW w:w="10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146050</wp:posOffset>
            </wp:positionV>
            <wp:extent cx="1525905" cy="762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905" cy="76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INNOVATIVE FOOD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720" w:type="dxa"/>
            <w:vAlign w:val="bottom"/>
            <w:gridSpan w:val="5"/>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5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20-1167761</w:t>
            </w:r>
          </w:p>
        </w:tc>
      </w:tr>
      <w:tr>
        <w:trPr>
          <w:trHeight w:val="198"/>
        </w:trPr>
        <w:tc>
          <w:tcPr>
            <w:tcW w:w="5520" w:type="dxa"/>
            <w:vAlign w:val="bottom"/>
            <w:tcBorders>
              <w:top w:val="single" w:sz="8" w:color="auto"/>
            </w:tcBorders>
            <w:gridSpan w:val="2"/>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20" w:type="dxa"/>
            <w:vAlign w:val="bottom"/>
            <w:gridSpan w:val="5"/>
          </w:tcPr>
          <w:p>
            <w:pPr>
              <w:jc w:val="center"/>
              <w:ind w:right="22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9"/>
        </w:trPr>
        <w:tc>
          <w:tcPr>
            <w:tcW w:w="7720" w:type="dxa"/>
            <w:vAlign w:val="bottom"/>
            <w:gridSpan w:val="5"/>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2528 S. 27</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Ave. Broadview, Illinois</w:t>
            </w:r>
          </w:p>
        </w:tc>
        <w:tc>
          <w:tcPr>
            <w:tcW w:w="35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60155</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(239) 596-0204</w:t>
            </w: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6"/>
        </w:trPr>
        <w:tc>
          <w:tcPr>
            <w:tcW w:w="7720" w:type="dxa"/>
            <w:vAlign w:val="bottom"/>
            <w:gridSpan w:val="5"/>
          </w:tcPr>
          <w:p>
            <w:pPr>
              <w:ind w:left="38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520" w:type="dxa"/>
            <w:vAlign w:val="bottom"/>
          </w:tcPr>
          <w:p>
            <w:pPr>
              <w:spacing w:after="0"/>
              <w:rPr>
                <w:sz w:val="20"/>
                <w:szCs w:val="20"/>
                <w:color w:val="auto"/>
              </w:rPr>
            </w:pPr>
          </w:p>
        </w:tc>
      </w:tr>
    </w:tbl>
    <w:p>
      <w:pPr>
        <w:spacing w:after="0" w:line="18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7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9" w:right="339" w:bottom="532" w:gutter="0" w:footer="0" w:header="0"/>
        </w:sectPr>
      </w:pPr>
    </w:p>
    <w:p>
      <w:pPr>
        <w:spacing w:after="0" w:line="122"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479" w:right="339" w:bottom="532" w:gutter="0" w:footer="0" w:header="0"/>
          <w:type w:val="continuous"/>
        </w:sectPr>
      </w:pPr>
    </w:p>
    <w:p>
      <w:pPr>
        <w:spacing w:after="0" w:line="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Regulation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54,785,684 shares of common stock outstanding as of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9" w:right="339" w:bottom="53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60" w:type="dxa"/>
            <w:vAlign w:val="bottom"/>
            <w:gridSpan w:val="6"/>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8"/>
              </w:rPr>
              <w:t>INNOVATIVE FOOD HOLDINGS,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60" w:type="dxa"/>
            <w:vAlign w:val="bottom"/>
            <w:gridSpan w:val="6"/>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TABLE OF CONTENTS TO FORM 10-Q</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3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340" w:type="dxa"/>
            <w:vAlign w:val="bottom"/>
            <w:gridSpan w:val="16"/>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92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 of Stockholders’ Equity</w:t>
            </w:r>
          </w:p>
        </w:tc>
        <w:tc>
          <w:tcPr>
            <w:tcW w:w="596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Notes to the Consolidated Financial Statements</w:t>
            </w:r>
          </w:p>
        </w:tc>
        <w:tc>
          <w:tcPr>
            <w:tcW w:w="516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tcPr>
          <w:p>
            <w:pPr>
              <w:spacing w:after="0"/>
              <w:rPr>
                <w:sz w:val="17"/>
                <w:szCs w:val="17"/>
                <w:color w:val="auto"/>
              </w:rPr>
            </w:pPr>
          </w:p>
        </w:tc>
        <w:tc>
          <w:tcPr>
            <w:tcW w:w="29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3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8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10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66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7"/>
                <w:szCs w:val="17"/>
                <w:color w:val="auto"/>
              </w:rPr>
            </w:pPr>
          </w:p>
        </w:tc>
        <w:tc>
          <w:tcPr>
            <w:tcW w:w="810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568"/>
        </w:trPr>
        <w:tc>
          <w:tcPr>
            <w:tcW w:w="9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1,105,274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2,330,880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7,494,670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9,039,232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6,796,302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6,290,488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349,918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238,526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5,941,933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5,941,933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21,688,097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23,890,374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1,690,084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1,584,878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Right of use assets - operating leases,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644,007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705,476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assets - finance leases,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494,390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524,273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402,794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424,372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Tradenames and other unamortizable intangible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25,136,372</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27,346,373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4,989,390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6,653,622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separation costs, related parties,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308,891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334,532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91,347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349,600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appreciation rights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1,413,745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1,353,150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payable -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 - operating leases,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 finance leases,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147,797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Contingent liability,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54,430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7,737,603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9,414,190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8,658,425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8,692,674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separation costs, related parties, non-current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457,692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 operating leases,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407,072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467,569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 - finance leases, non-current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139,591</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17,290,950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&amp; Contingencies (see note 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56,831,090 and 56,009,032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53,986,793 and 53,164,735 shares outstanding at March 31, 2025 and December 31, 2024,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stock to be issued; 798,891 and 738,032 shares at March 31, 2025 and December 31, 2024,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45,621,235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45,520,121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Treasury stock: 2,644,297 shares outstanding at March 31, 2025 and December 31, 2024</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(1,141,372)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(1,141,372)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(36,640,200)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(36,209,764)</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7,845,422</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8,174,657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25,136,372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27,346,373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color w:val="auto"/>
                <w:w w:val="99"/>
              </w:rPr>
              <w:t>See condensed notes to these unaudited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19,548,566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15,518,153</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15,062,759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11,713,219</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4,485,807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3,804,934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4,708,977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3,978,840</w:t>
            </w:r>
          </w:p>
        </w:tc>
        <w:tc>
          <w:tcPr>
            <w:tcW w:w="0" w:type="dxa"/>
            <w:vAlign w:val="bottom"/>
          </w:tcPr>
          <w:p>
            <w:pPr>
              <w:spacing w:after="0"/>
              <w:rPr>
                <w:sz w:val="1"/>
                <w:szCs w:val="1"/>
                <w:color w:val="auto"/>
              </w:rPr>
            </w:pPr>
          </w:p>
        </w:tc>
      </w:tr>
      <w:tr>
        <w:trPr>
          <w:trHeight w:val="20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4,708,977</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(223,170)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(173,906)</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(209,166)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(215,450)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1,807,516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sale of subsidiary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21,126</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leasing income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(430,436)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1,441,186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(430,436)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1,441,186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(15,312)</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(430,436)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1,425,874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from continuing operations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from continuing operations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53,962,273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49,707,036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53,962,273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50,603,891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jc w:val="center"/>
              <w:ind w:left="1190"/>
              <w:spacing w:after="0"/>
              <w:rPr>
                <w:sz w:val="20"/>
                <w:szCs w:val="20"/>
                <w:color w:val="auto"/>
              </w:rPr>
            </w:pPr>
            <w:r>
              <w:rPr>
                <w:rFonts w:ascii="Times New Roman" w:cs="Times New Roman" w:eastAsia="Times New Roman" w:hAnsi="Times New Roman"/>
                <w:sz w:val="18"/>
                <w:szCs w:val="18"/>
                <w:color w:val="auto"/>
                <w:w w:val="99"/>
              </w:rPr>
              <w:t>See condensed notes to these unaudited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gridSpan w:val="2"/>
          </w:tcPr>
          <w:p>
            <w:pPr>
              <w:jc w:val="center"/>
              <w:ind w:left="247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8"/>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1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8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 and 2024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Common Stock to</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2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0"/>
                <w:szCs w:val="20"/>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8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4"/>
        </w:trPr>
        <w:tc>
          <w:tcPr>
            <w:tcW w:w="196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52,538,100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$ 42,762,811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2,623,171</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(1,141,370)</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(38,821,278)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$ 2,805,414</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returned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from sale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(21,124)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21,126</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(21,126)</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shares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compensation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103,235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103,235</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for the three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months ended March</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w:t>
            </w: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1,425,874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1,425,874</w:t>
            </w:r>
          </w:p>
        </w:tc>
        <w:tc>
          <w:tcPr>
            <w:tcW w:w="0" w:type="dxa"/>
            <w:vAlign w:val="bottom"/>
          </w:tcPr>
          <w:p>
            <w:pPr>
              <w:spacing w:after="0"/>
              <w:rPr>
                <w:sz w:val="1"/>
                <w:szCs w:val="1"/>
                <w:color w:val="auto"/>
              </w:rPr>
            </w:pPr>
          </w:p>
        </w:tc>
      </w:tr>
      <w:tr>
        <w:trPr>
          <w:trHeight w:val="20"/>
        </w:trPr>
        <w:tc>
          <w:tcPr>
            <w:tcW w:w="1960" w:type="dxa"/>
            <w:vAlign w:val="bottom"/>
            <w:gridSpan w:val="2"/>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60" w:type="dxa"/>
            <w:vAlign w:val="bottom"/>
            <w:gridSpan w:val="2"/>
            <w:vMerge w:val="continue"/>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52,538,100</w:t>
            </w:r>
          </w:p>
        </w:tc>
        <w:tc>
          <w:tcPr>
            <w:tcW w:w="10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1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42,844,922</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2,644,297</w:t>
            </w:r>
          </w:p>
        </w:tc>
        <w:tc>
          <w:tcPr>
            <w:tcW w:w="11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(1,141,372)</w:t>
            </w:r>
          </w:p>
        </w:tc>
        <w:tc>
          <w:tcPr>
            <w:tcW w:w="1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(37,395,404)</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$ 4,313,397</w:t>
            </w: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20" w:type="dxa"/>
            <w:vAlign w:val="bottom"/>
            <w:tcBorders>
              <w:right w:val="single" w:sz="8" w:color="CCEEFF"/>
            </w:tcBorders>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1320" w:type="dxa"/>
            <w:vAlign w:val="bottom"/>
            <w:gridSpan w:val="3"/>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56,009,032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738,032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$45,520,121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2,644,297</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(1,141,372)</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(36,209,764)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$ 8,174,657</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cashless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options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shares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compensation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101,201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101,201</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earned under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798,891</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738,032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(738,032)</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for the three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months ended March</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31, 2025</w:t>
            </w:r>
          </w:p>
        </w:tc>
        <w:tc>
          <w:tcPr>
            <w:tcW w:w="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(430,436)</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(430,436)</w:t>
            </w:r>
          </w:p>
        </w:tc>
        <w:tc>
          <w:tcPr>
            <w:tcW w:w="0" w:type="dxa"/>
            <w:vAlign w:val="bottom"/>
          </w:tcPr>
          <w:p>
            <w:pPr>
              <w:spacing w:after="0"/>
              <w:rPr>
                <w:sz w:val="1"/>
                <w:szCs w:val="1"/>
                <w:color w:val="auto"/>
              </w:rPr>
            </w:pPr>
          </w:p>
        </w:tc>
      </w:tr>
      <w:tr>
        <w:trPr>
          <w:trHeight w:val="20"/>
        </w:trPr>
        <w:tc>
          <w:tcPr>
            <w:tcW w:w="1960" w:type="dxa"/>
            <w:vAlign w:val="bottom"/>
            <w:gridSpan w:val="2"/>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60" w:type="dxa"/>
            <w:vAlign w:val="bottom"/>
            <w:gridSpan w:val="2"/>
            <w:vMerge w:val="continue"/>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56,831,090</w:t>
            </w:r>
          </w:p>
        </w:tc>
        <w:tc>
          <w:tcPr>
            <w:tcW w:w="10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1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798,891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45,621,235</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2,644,297</w:t>
            </w:r>
          </w:p>
        </w:tc>
        <w:tc>
          <w:tcPr>
            <w:tcW w:w="11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(1,141,372)</w:t>
            </w:r>
          </w:p>
        </w:tc>
        <w:tc>
          <w:tcPr>
            <w:tcW w:w="13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(36,640,200)</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$ 7,845,422</w:t>
            </w: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20" w:type="dxa"/>
            <w:vAlign w:val="bottom"/>
            <w:tcBorders>
              <w:right w:val="single" w:sz="8" w:color="CCEEFF"/>
            </w:tcBorders>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1320" w:type="dxa"/>
            <w:vAlign w:val="bottom"/>
            <w:gridSpan w:val="3"/>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(430,436)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1,425,874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(1,807,516)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Loss on sale of subsidiaries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109,621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110,260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61,469</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4,175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discount on notes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101,201</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103,235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Value of stock appreciation rights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118,898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27,555</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22,882</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1,517,007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175,436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and other current assets, net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(617,206)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71,054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(1,664,232)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(3,144,335)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separation costs - related parties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(83,333)</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(84,548)</w:t>
            </w:r>
          </w:p>
        </w:tc>
        <w:tc>
          <w:tcPr>
            <w:tcW w:w="0" w:type="dxa"/>
            <w:vAlign w:val="bottom"/>
          </w:tcPr>
          <w:p>
            <w:pPr>
              <w:spacing w:after="0"/>
              <w:rPr>
                <w:sz w:val="1"/>
                <w:szCs w:val="1"/>
                <w:color w:val="auto"/>
              </w:rPr>
            </w:pPr>
          </w:p>
        </w:tc>
      </w:tr>
      <w:tr>
        <w:trPr>
          <w:trHeight w:val="22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(58,840)</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(977,407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(3,157,213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16" w:right="339" w:bottom="808"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Cash received from disposition of asset, net of loan payoff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(163,366)</w:t>
      </w:r>
      <w:r>
        <w:rPr>
          <w:sz w:val="20"/>
          <w:szCs w:val="20"/>
          <w:color w:val="auto"/>
        </w:rPr>
        <w:tab/>
      </w:r>
      <w:r>
        <w:rPr>
          <w:rFonts w:ascii="Times New Roman" w:cs="Times New Roman" w:eastAsia="Times New Roman" w:hAnsi="Times New Roman"/>
          <w:sz w:val="18"/>
          <w:szCs w:val="18"/>
          <w:color w:val="auto"/>
        </w:rPr>
        <w:t>(1,406)</w:t>
      </w:r>
    </w:p>
    <w:p>
      <w:pPr>
        <w:spacing w:after="0" w:line="27" w:lineRule="exact"/>
        <w:rPr>
          <w:sz w:val="20"/>
          <w:szCs w:val="20"/>
          <w:color w:val="auto"/>
        </w:rPr>
      </w:pPr>
    </w:p>
    <w:p>
      <w:pPr>
        <w:ind w:left="1260" w:hanging="671"/>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2,101,185</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(163,366)2,099,779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-130810</wp:posOffset>
            </wp:positionV>
            <wp:extent cx="1560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440" w:space="720"/>
            <w:col w:w="2080"/>
          </w:cols>
          <w:pgMar w:left="320" w:top="216" w:right="339" w:bottom="808"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(45,604)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financing leases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(88,544)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line of credit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line of credit</w:t>
            </w:r>
          </w:p>
        </w:tc>
        <w:tc>
          <w:tcPr>
            <w:tcW w:w="2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(1,274,921)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2,380,195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5,422,335</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continuing operations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1,105,274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4,187,011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discontinued operations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105,205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204,813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228,970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Reclassify fixed assets as held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5,941,933</w:t>
            </w:r>
          </w:p>
        </w:tc>
        <w:tc>
          <w:tcPr>
            <w:tcW w:w="0" w:type="dxa"/>
            <w:vAlign w:val="bottom"/>
          </w:tcPr>
          <w:p>
            <w:pPr>
              <w:spacing w:after="0"/>
              <w:rPr>
                <w:sz w:val="1"/>
                <w:szCs w:val="1"/>
                <w:color w:val="auto"/>
              </w:rPr>
            </w:pPr>
          </w:p>
        </w:tc>
      </w:tr>
      <w:tr>
        <w:trPr>
          <w:trHeight w:val="197"/>
        </w:trPr>
        <w:tc>
          <w:tcPr>
            <w:tcW w:w="86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Principal and accrued interest paid from escrow to Maple Mark Bank</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353,815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under compensation plans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stock for cashless exercise of options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ectPr>
          <w:pgSz w:w="11900" w:h="16838" w:orient="portrait"/>
          <w:cols w:equalWidth="0" w:num="1">
            <w:col w:w="11240"/>
          </w:cols>
          <w:pgMar w:left="320" w:top="216" w:right="339" w:bottom="808"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808"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ACTIVITIES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those of Innovative Food Holdings, Inc. and all of its wholly-owned subsidiaries (collectively, “we,” “our,” “us” or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2024. In the opinion of management, the interim unaudited consolidated financial statements reflect all adjustments, including normal recurring adjustments, necessary for fair presentation of the interim periods presented. The results of the operations for the three months ended March 31, 2025 are not necessarily indicative of the results of operations to be expected for the full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difficult-to-find specialty foods primarily to both Professional Chefs through our relationships with producers, growers, makers and distributors of these products worldwide. The distribution of these products primarily originates from our two warehouses and those of our drop ship partners, and is driven by our proprietary technology platform. In addition, we provide value-added services through our team of food specialists and Chef Advisors who offer customer support, menu ideas, and preparation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we made the decision to focus more on our Business to Business (B2B) activities and less on our Direct to Consumer (“D2C”) products. Our subsidiaries GROW and Oasis were sold effective December 29, 2023; Haley Food Group, Inc. (“Haley”) was sold effective February 26, 2024; and the igourmet platform and its D2C components were sold effective August 6, 2024. We continue to operate the B2B component, which remains part of our continuing operations. On October 8, 2024, we sold substantially all of the assets of Mouth. The activities of P Innovations (“Plantbelly”) were abandoned. See Note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guidance of Accounts Standards Codification (“ASC”) 205-20,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the accounts of our discontinued entities GROW, Oasis, Haley, Plantbelly, and Mouth have been included in “Net loss from discontinued operations” in our consolidated statements of operations. Additionally, the assets and liabilities of these entities have been presented as discontinued operations in our consolidated balance sheets. On December 29, 2023, the Company completed the sales of its Grow and Oasis subsidiaries; on February 26, 2024, the Company completed the sale of its Haley subsidiary (see Note 4); and on October 8, 2024, the Company completed the sale of substantially all of the assets of Mouth. In addition, the operations of Plantbelly have been abandoned. The only remaining discontinued operations on the Company’s balance sheet at December 31, 2024 is cash in the amount of $49,315 held by Mouth. See Note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presented in the financial statements of the prior period have been reclassified to conform with the current period presentation of discontinued operations. See Note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allowances for doubtful accounts, allowances for slow moving &amp; obsolete inventory, income taxes, intangible assets,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ectPr>
          <w:pgSz w:w="11900" w:h="16838" w:orient="portrait"/>
          <w:cols w:equalWidth="0" w:num="1">
            <w:col w:w="11240"/>
          </w:cols>
          <w:pgMar w:left="320" w:top="229" w:right="3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As of March 31, 2025 and December 31, 2024, the Company’s largest customer, U.S. Foods, Inc. and its affiliates, accounted for approximately 14% and 10% of accounts receivable, respectively; Sam’s Club, a membership-based warehouse retailer and subsidiary of Walmart Inc. represented 24% and 34% of accounts receivable, respectively; and Gate Gourmet, the leading global provider of airline catering solutions and provisioning services for airlines, represented 19% and 15% of accounts receivable, respectively.  </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March 31, 2025 and December 31, 2024, the total cash in excess of these limits was $0 and $1,016,918,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provides an allowance for credit losses equal to the estimated uncollectible amounts pursuant to the guidance of Accounting Standards Update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(Topic 326) as codified in ASC 326,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$40,002 at March 31, 2025 and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cost or market and is determined by the first-in, first-out method. The Company adjusts inventory based upon bi-weekly cycle counts and upon the expiration date of food products. In addition, the Company records an allowance for obsolete or slow moving inventory based upon historical loss history and management’s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Financial Accounting Standards Board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revenue from product sales (i.e., specialty foodservice and e-commerce), the Company recognizes revenue in accordance with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Warehouse and logistics services revenues are primarily comprised of inventory management, order fulfilment and warehousing services. Warehouse and logistics services revenues are recognized at the point in time when the services are rendered to the customer.</w:t>
      </w:r>
    </w:p>
    <w:p>
      <w:pPr>
        <w:sectPr>
          <w:pgSz w:w="11900" w:h="16838" w:orient="portrait"/>
          <w:cols w:equalWidth="0" w:num="1">
            <w:col w:w="11240"/>
          </w:cols>
          <w:pgMar w:left="320" w:top="229" w:right="3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relates to a long-term lease agreement under which the Company received a one-time upfront payment associated with the installation of a telecommunications tower on a building owned by the Company. This lease has a 50-year term, and revenue is being recognized on a straight-line basis over the life of the lease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following table represents the changes in deferred revenue as reported on the Company’s consolidated balance sheets: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 received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recognized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2024 (unaudited)</w:t>
            </w: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6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349,600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 received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recognized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2025 (unaudited)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Disaggregation of Revenue</w:t>
            </w:r>
          </w:p>
        </w:tc>
        <w:tc>
          <w:tcPr>
            <w:tcW w:w="67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980" w:type="dxa"/>
            <w:vAlign w:val="bottom"/>
            <w:tcBorders>
              <w:bottom w:val="single" w:sz="8" w:color="auto"/>
            </w:tcBorders>
            <w:vMerge w:val="continue"/>
          </w:tcPr>
          <w:p>
            <w:pPr>
              <w:spacing w:after="0"/>
              <w:rPr>
                <w:sz w:val="24"/>
                <w:szCs w:val="24"/>
                <w:color w:val="auto"/>
              </w:rPr>
            </w:pPr>
          </w:p>
        </w:tc>
        <w:tc>
          <w:tcPr>
            <w:tcW w:w="6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three months ended March 31, 2025 and 2024: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9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Channels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8,299,715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8,908,936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Distribution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6,562,167</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2,811,095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Local Distribution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4,433,618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2,355,045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1,234,866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253,066</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208,211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19,548,566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15,518,153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shares issuable under executive compensation plan. Basic and diluted net loss per share is computed based on the weighted average number of shares of common stock outstanding during the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there were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March 31, 2025, none of these RSU were vested. There was no charge to operations for these RSUs during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there were a total of 1,142,989 shares of common stock potentially issuable to the Company’s executive officers pursuant to compensation plans and contingent upon the achievement of certain performance goals; see Notes 16 and 17. Of these, 798,8991 shares have vested and are included in fully-diluted shares outstanding during the three months ended March 31, 2025; 344,098 have not vested, and are excluded from the calculation of fully-diluted shares outstanding during the three months ended March 31, 2025. During the three months ended March 31, 2025, the amount of $101,201 was charged to stock-based compensation. See note 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basic and diluted EPS: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net loss for the three months ended March 31, 2025, and all of potentially issuable shares are anti-dilutive. There is no difference between EPS and fully-diluted EPS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March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March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680" w:type="dxa"/>
            <w:vAlign w:val="bottom"/>
          </w:tcPr>
          <w:p>
            <w:pPr>
              <w:spacing w:after="0"/>
              <w:rPr>
                <w:sz w:val="20"/>
                <w:szCs w:val="20"/>
                <w:color w:val="auto"/>
              </w:rPr>
            </w:pPr>
          </w:p>
        </w:tc>
        <w:tc>
          <w:tcPr>
            <w:tcW w:w="31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8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contractual life (years)</w:t>
            </w:r>
          </w:p>
        </w:tc>
      </w:tr>
      <w:tr>
        <w:trPr>
          <w:trHeight w:val="209"/>
        </w:trPr>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0.50</w:t>
            </w:r>
          </w:p>
        </w:tc>
        <w:tc>
          <w:tcPr>
            <w:tcW w:w="3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0.60</w:t>
            </w:r>
          </w:p>
        </w:tc>
        <w:tc>
          <w:tcPr>
            <w:tcW w:w="3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3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3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3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3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3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8"/>
        </w:trPr>
        <w:tc>
          <w:tcPr>
            <w:tcW w:w="6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2024,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March 31, 2024, none of these RSU were vested. There was no charge to operations for these RSUs during the three months ended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there were a total of 3,910,534 shares of common stock potentially issuable to the Company’s executive officers pursuant to compensation plans and contingent upon the achievement of certain performance goals; see notes 16 and 17.</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illustrates the computation of basic and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EPS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4174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1" w:lineRule="exact"/>
        <w:rPr>
          <w:sz w:val="20"/>
          <w:szCs w:val="20"/>
          <w:color w:val="auto"/>
        </w:rPr>
      </w:pPr>
    </w:p>
    <w:p>
      <w:pPr>
        <w:ind w:left="280"/>
        <w:spacing w:after="0"/>
        <w:tabs>
          <w:tab w:leader="none" w:pos="1640" w:val="left"/>
          <w:tab w:leader="none" w:pos="2860" w:val="left"/>
        </w:tabs>
        <w:rPr>
          <w:sz w:val="20"/>
          <w:szCs w:val="20"/>
          <w:color w:val="auto"/>
        </w:rPr>
      </w:pPr>
      <w:r>
        <w:rPr>
          <w:rFonts w:ascii="Times New Roman" w:cs="Times New Roman" w:eastAsia="Times New Roman" w:hAnsi="Times New Roman"/>
          <w:sz w:val="18"/>
          <w:szCs w:val="18"/>
          <w:b w:val="1"/>
          <w:bCs w:val="1"/>
          <w:color w:val="auto"/>
        </w:rPr>
        <w:t>Income</w:t>
      </w:r>
      <w:r>
        <w:rPr>
          <w:sz w:val="20"/>
          <w:szCs w:val="20"/>
          <w:color w:val="auto"/>
        </w:rPr>
        <w:tab/>
      </w: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7"/>
          <w:szCs w:val="17"/>
          <w:b w:val="1"/>
          <w:bCs w:val="1"/>
          <w:color w:val="auto"/>
        </w:rPr>
        <w:t>Per-Share</w:t>
      </w:r>
    </w:p>
    <w:p>
      <w:pPr>
        <w:spacing w:after="0" w:line="23" w:lineRule="exact"/>
        <w:rPr>
          <w:sz w:val="20"/>
          <w:szCs w:val="20"/>
          <w:color w:val="auto"/>
        </w:rPr>
      </w:pPr>
    </w:p>
    <w:p>
      <w:pPr>
        <w:ind w:left="80"/>
        <w:spacing w:after="0"/>
        <w:tabs>
          <w:tab w:leader="none" w:pos="1340" w:val="left"/>
          <w:tab w:leader="none" w:pos="2920" w:val="left"/>
        </w:tabs>
        <w:rPr>
          <w:sz w:val="20"/>
          <w:szCs w:val="20"/>
          <w:color w:val="auto"/>
        </w:rPr>
      </w:pPr>
      <w:r>
        <w:rPr>
          <w:rFonts w:ascii="Times New Roman" w:cs="Times New Roman" w:eastAsia="Times New Roman" w:hAnsi="Times New Roman"/>
          <w:sz w:val="18"/>
          <w:szCs w:val="18"/>
          <w:b w:val="1"/>
          <w:bCs w:val="1"/>
          <w:color w:val="auto"/>
        </w:rPr>
        <w:t>(Numerator)</w:t>
      </w:r>
      <w:r>
        <w:rPr>
          <w:sz w:val="20"/>
          <w:szCs w:val="20"/>
          <w:color w:val="auto"/>
        </w:rPr>
        <w:tab/>
      </w:r>
      <w:r>
        <w:rPr>
          <w:rFonts w:ascii="Times New Roman" w:cs="Times New Roman" w:eastAsia="Times New Roman" w:hAnsi="Times New Roman"/>
          <w:sz w:val="18"/>
          <w:szCs w:val="18"/>
          <w:b w:val="1"/>
          <w:bCs w:val="1"/>
          <w:u w:val="single" w:color="auto"/>
          <w:color w:val="auto"/>
        </w:rPr>
        <w:t>(Denominator)</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23" w:lineRule="exact"/>
        <w:rPr>
          <w:sz w:val="20"/>
          <w:szCs w:val="20"/>
          <w:color w:val="auto"/>
        </w:rPr>
      </w:pPr>
    </w:p>
    <w:p>
      <w:pPr>
        <w:ind w:left="420" w:hanging="415"/>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1,425,874</w:t>
      </w:r>
    </w:p>
    <w:p>
      <w:pPr>
        <w:spacing w:after="0" w:line="200" w:lineRule="exact"/>
        <w:rPr>
          <w:sz w:val="20"/>
          <w:szCs w:val="20"/>
          <w:color w:val="auto"/>
        </w:rPr>
      </w:pPr>
    </w:p>
    <w:p>
      <w:pPr>
        <w:spacing w:after="0" w:line="236" w:lineRule="exact"/>
        <w:rPr>
          <w:sz w:val="20"/>
          <w:szCs w:val="20"/>
          <w:color w:val="auto"/>
        </w:rPr>
      </w:pPr>
    </w:p>
    <w:p>
      <w:pPr>
        <w:jc w:val="both"/>
        <w:ind w:left="420"/>
        <w:spacing w:after="0"/>
        <w:tabs>
          <w:tab w:leader="none" w:pos="1660" w:val="left"/>
          <w:tab w:leader="none" w:pos="2680" w:val="left"/>
          <w:tab w:leader="none" w:pos="3380" w:val="left"/>
        </w:tabs>
        <w:rPr>
          <w:sz w:val="20"/>
          <w:szCs w:val="20"/>
          <w:color w:val="auto"/>
        </w:rPr>
      </w:pPr>
      <w:r>
        <w:rPr>
          <w:rFonts w:ascii="Times New Roman" w:cs="Times New Roman" w:eastAsia="Times New Roman" w:hAnsi="Times New Roman"/>
          <w:sz w:val="18"/>
          <w:szCs w:val="18"/>
          <w:color w:val="auto"/>
        </w:rPr>
        <w:t>1,425,874</w:t>
      </w:r>
      <w:r>
        <w:rPr>
          <w:sz w:val="20"/>
          <w:szCs w:val="20"/>
          <w:color w:val="auto"/>
        </w:rPr>
        <w:tab/>
      </w:r>
      <w:r>
        <w:rPr>
          <w:rFonts w:ascii="Times New Roman" w:cs="Times New Roman" w:eastAsia="Times New Roman" w:hAnsi="Times New Roman"/>
          <w:sz w:val="18"/>
          <w:szCs w:val="18"/>
          <w:color w:val="auto"/>
        </w:rPr>
        <w:t>49,707,036</w:t>
        <w:tab/>
        <w:t>$</w:t>
      </w:r>
      <w:r>
        <w:rPr>
          <w:sz w:val="20"/>
          <w:szCs w:val="20"/>
          <w:color w:val="auto"/>
        </w:rPr>
        <w:tab/>
      </w:r>
      <w:r>
        <w:rPr>
          <w:rFonts w:ascii="Times New Roman" w:cs="Times New Roman" w:eastAsia="Times New Roman" w:hAnsi="Times New Roman"/>
          <w:sz w:val="18"/>
          <w:szCs w:val="18"/>
          <w:color w:val="auto"/>
        </w:rPr>
        <w:t>0.029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34290</wp:posOffset>
            </wp:positionV>
            <wp:extent cx="702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900" w:hanging="821"/>
        <w:spacing w:after="0"/>
        <w:tabs>
          <w:tab w:leader="none" w:pos="1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165,505</w:t>
      </w:r>
    </w:p>
    <w:p>
      <w:pPr>
        <w:spacing w:after="0" w:line="27" w:lineRule="exact"/>
        <w:rPr>
          <w:rFonts w:ascii="Times New Roman" w:cs="Times New Roman" w:eastAsia="Times New Roman" w:hAnsi="Times New Roman"/>
          <w:sz w:val="18"/>
          <w:szCs w:val="18"/>
          <w:color w:val="auto"/>
        </w:rPr>
      </w:pPr>
    </w:p>
    <w:p>
      <w:pPr>
        <w:ind w:left="1900" w:hanging="821"/>
        <w:spacing w:after="0"/>
        <w:tabs>
          <w:tab w:leader="none" w:pos="1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731,350</w:t>
      </w:r>
    </w:p>
    <w:p>
      <w:pPr>
        <w:spacing w:after="0" w:line="261" w:lineRule="exact"/>
        <w:rPr>
          <w:sz w:val="20"/>
          <w:szCs w:val="20"/>
          <w:color w:val="auto"/>
        </w:rPr>
      </w:pPr>
    </w:p>
    <w:p>
      <w:pPr>
        <w:spacing w:after="0"/>
        <w:tabs>
          <w:tab w:leader="none" w:pos="1660" w:val="left"/>
          <w:tab w:leader="none" w:pos="2680" w:val="left"/>
          <w:tab w:leader="none" w:pos="3380" w:val="left"/>
        </w:tabs>
        <w:rPr>
          <w:sz w:val="20"/>
          <w:szCs w:val="20"/>
          <w:color w:val="auto"/>
        </w:rPr>
      </w:pPr>
      <w:r>
        <w:rPr>
          <w:rFonts w:ascii="Times New Roman" w:cs="Times New Roman" w:eastAsia="Times New Roman" w:hAnsi="Times New Roman"/>
          <w:sz w:val="18"/>
          <w:szCs w:val="18"/>
          <w:u w:val="single" w:color="auto"/>
          <w:color w:val="auto"/>
        </w:rPr>
        <w:t>$ 1,425,874.00</w:t>
      </w:r>
      <w:r>
        <w:rPr>
          <w:sz w:val="20"/>
          <w:szCs w:val="20"/>
          <w:color w:val="auto"/>
        </w:rPr>
        <w:tab/>
      </w:r>
      <w:r>
        <w:rPr>
          <w:rFonts w:ascii="Times New Roman" w:cs="Times New Roman" w:eastAsia="Times New Roman" w:hAnsi="Times New Roman"/>
          <w:sz w:val="18"/>
          <w:szCs w:val="18"/>
          <w:color w:val="auto"/>
        </w:rPr>
        <w:t>50,603,891</w:t>
        <w:tab/>
        <w:t>$</w:t>
      </w:r>
      <w:r>
        <w:rPr>
          <w:sz w:val="20"/>
          <w:szCs w:val="20"/>
          <w:color w:val="auto"/>
        </w:rPr>
        <w:tab/>
      </w:r>
      <w:r>
        <w:rPr>
          <w:rFonts w:ascii="Times New Roman" w:cs="Times New Roman" w:eastAsia="Times New Roman" w:hAnsi="Times New Roman"/>
          <w:sz w:val="18"/>
          <w:szCs w:val="18"/>
          <w:color w:val="auto"/>
        </w:rPr>
        <w:t>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41744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7445" cy="2540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6600" w:space="720"/>
            <w:col w:w="3920"/>
          </w:cols>
          <w:pgMar w:left="320" w:top="229"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amendments improve reportable segment disclosure requirements, primarily through enhanced disclosures about significant segment expenses. The ASU is effective for annual reporting periods beginning after December 15, 2023 and interim periods within fiscal years beginning after December 15, 2024 with early adoption permitted and can be applied on either a prospective or retroactive basis. The Company does not believe the adoption of this guidance will have a material effect on its Consolidated Financial Statements and segment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fiscal years beginning after December 15, 2026, and interim periods within fiscal years beginning after December 15, 2027. Early adoption is permitted. The Company does not believe the adoption of this guidance will have a material effect on its Consolidated Financial Statements and segment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2023, in connection with an analysis of the Company’s sales mix and profitability by service offering, management made the strategic decision to focus on the Company’s B2B service offering and to allocate fewer resources to and in some cases to sell certain of the Company’s subsidiaries involved in its D2C service offerings. Pursuant to this strategy, on December 29, 2023, the Company completed the sales of its Grow and Oasis subsidiaries; on February 26, 2024, the Company completed the sale of its Haley subsidiary (see Note 4); and on October 8, 2024, the Company sold substantially all of the assets of Mouth. In addition, the operations of Plantbelly were abandoned.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 of assets and liabilities included as part of discontinued operations in the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10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 - discontinued operations</w:t>
            </w:r>
          </w:p>
        </w:tc>
        <w:tc>
          <w:tcPr>
            <w:tcW w:w="102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the after-tax loss from discontinued operations in the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680" w:type="dxa"/>
            <w:vAlign w:val="bottom"/>
          </w:tcPr>
          <w:p>
            <w:pPr>
              <w:spacing w:after="0"/>
              <w:rPr>
                <w:sz w:val="17"/>
                <w:szCs w:val="17"/>
                <w:color w:val="auto"/>
              </w:rPr>
            </w:pPr>
          </w:p>
        </w:tc>
        <w:tc>
          <w:tcPr>
            <w:tcW w:w="1020" w:type="dxa"/>
            <w:vAlign w:val="bottom"/>
            <w:tcBorders>
              <w:top w:val="single" w:sz="8" w:color="auto"/>
            </w:tcBorders>
          </w:tcPr>
          <w:p>
            <w:pPr>
              <w:jc w:val="center"/>
              <w:ind w:left="12"/>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7"/>
                <w:szCs w:val="17"/>
                <w:color w:val="auto"/>
              </w:rPr>
            </w:pPr>
          </w:p>
        </w:tc>
      </w:tr>
      <w:tr>
        <w:trPr>
          <w:trHeight w:val="238"/>
        </w:trPr>
        <w:tc>
          <w:tcPr>
            <w:tcW w:w="8680" w:type="dxa"/>
            <w:vAlign w:val="bottom"/>
          </w:tcPr>
          <w:p>
            <w:pPr>
              <w:spacing w:after="0"/>
              <w:rPr>
                <w:sz w:val="20"/>
                <w:szCs w:val="20"/>
                <w:color w:val="auto"/>
              </w:rPr>
            </w:pPr>
          </w:p>
        </w:tc>
        <w:tc>
          <w:tcPr>
            <w:tcW w:w="10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680" w:type="dxa"/>
            <w:vAlign w:val="bottom"/>
          </w:tcPr>
          <w:p>
            <w:pPr>
              <w:spacing w:after="0"/>
              <w:rPr>
                <w:sz w:val="18"/>
                <w:szCs w:val="18"/>
                <w:color w:val="auto"/>
              </w:rPr>
            </w:pP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236,817</w:t>
            </w:r>
          </w:p>
        </w:tc>
        <w:tc>
          <w:tcPr>
            <w:tcW w:w="80" w:type="dxa"/>
            <w:vAlign w:val="bottom"/>
            <w:shd w:val="clear" w:color="auto" w:fill="CCEEFF"/>
          </w:tcPr>
          <w:p>
            <w:pPr>
              <w:spacing w:after="0"/>
              <w:rPr>
                <w:sz w:val="18"/>
                <w:szCs w:val="18"/>
                <w:color w:val="auto"/>
              </w:rPr>
            </w:pP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tcPr>
          <w:p>
            <w:pPr>
              <w:spacing w:after="0"/>
              <w:rPr>
                <w:sz w:val="19"/>
                <w:szCs w:val="19"/>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(184,818)</w:t>
            </w:r>
          </w:p>
        </w:tc>
      </w:tr>
      <w:tr>
        <w:trPr>
          <w:trHeight w:val="209"/>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(67,311)</w:t>
            </w:r>
          </w:p>
        </w:tc>
      </w:tr>
      <w:tr>
        <w:trPr>
          <w:trHeight w:val="216"/>
        </w:trPr>
        <w:tc>
          <w:tcPr>
            <w:tcW w:w="8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020" w:type="dxa"/>
            <w:vAlign w:val="bottom"/>
            <w:tcBorders>
              <w:top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major classes of line items which constituted significant operating and investing cash flow activities in the consolidated statements of cash flows relating to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2024, the Company sold its property located at 28411 Race Track Road, Bonita Springs, Florida, for net cash proceeds of $2,101,185, net of the payoff of principal and interest in the amount of $356,215 on Maple Mark Term Loan 2. A gain in the amount of $1,807,516 was recorded on this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SUBSIDIARY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Haley had no assets or liabilities at the time of the sale. The Company valued the 21,126 shares of common stock at the market price on the date of the acquisition of $1.00 per sale and recorded a gain in the amount of $21,126 on this transaction.</w:t>
      </w:r>
    </w:p>
    <w:p>
      <w:pPr>
        <w:sectPr>
          <w:pgSz w:w="11900" w:h="16838" w:orient="portrait"/>
          <w:cols w:equalWidth="0" w:num="1">
            <w:col w:w="11240"/>
          </w:cols>
          <w:pgMar w:left="320" w:top="229"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accounts receivable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405" w:hanging="405"/>
        <w:spacing w:after="0"/>
        <w:tabs>
          <w:tab w:leader="none" w:pos="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7,534,672   $   9,079,234</w:t>
      </w:r>
    </w:p>
    <w:p>
      <w:pPr>
        <w:spacing w:after="0" w:line="7" w:lineRule="exact"/>
        <w:rPr>
          <w:rFonts w:ascii="Times New Roman" w:cs="Times New Roman" w:eastAsia="Times New Roman" w:hAnsi="Times New Roman"/>
          <w:sz w:val="18"/>
          <w:szCs w:val="18"/>
          <w:color w:val="auto"/>
        </w:rPr>
      </w:pPr>
    </w:p>
    <w:p>
      <w:pPr>
        <w:ind w:left="5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(40,002)(40,002)</w:t>
      </w:r>
    </w:p>
    <w:p>
      <w:pPr>
        <w:spacing w:after="0" w:line="31"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7,494,670</w:t>
        <w:tab/>
        <w:t>$</w:t>
      </w:r>
      <w:r>
        <w:rPr>
          <w:sz w:val="20"/>
          <w:szCs w:val="20"/>
          <w:color w:val="auto"/>
        </w:rPr>
        <w:tab/>
      </w:r>
      <w:r>
        <w:rPr>
          <w:rFonts w:ascii="Times New Roman" w:cs="Times New Roman" w:eastAsia="Times New Roman" w:hAnsi="Times New Roman"/>
          <w:sz w:val="18"/>
          <w:szCs w:val="18"/>
          <w:u w:val="single" w:color="auto"/>
          <w:color w:val="auto"/>
        </w:rPr>
        <w:t>9,039,232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601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229" w:right="339" w:bottom="1440" w:gutter="0" w:footer="0" w:header="0"/>
          <w:type w:val="continuous"/>
        </w:sectPr>
      </w:pP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charged the amount of $27,555 and $22,882 to provision for credit losses,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primarily of specialty food products. At March 31, 2025 and December 31, 2024, inventory consisted of the following:</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Allowance for slow moving &amp; obsolete inventory</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 inventory,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12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6,796,302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6,290,488</w:t>
            </w:r>
          </w:p>
        </w:tc>
      </w:tr>
      <w:tr>
        <w:trPr>
          <w:trHeight w:val="234"/>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6,796,302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6,290,488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property and equipment at March 31, 2025 and December 31, 2024 is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208,140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208,140</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1,019,655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904,593</w:t>
            </w: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270,971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260,702</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655,622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617,587</w:t>
            </w: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952,870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952,870</w:t>
            </w: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277,353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277,353</w:t>
            </w:r>
          </w:p>
        </w:tc>
      </w:tr>
      <w:tr>
        <w:trPr>
          <w:trHeight w:val="209"/>
        </w:trPr>
        <w:tc>
          <w:tcPr>
            <w:tcW w:w="8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3,384,611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3,221,245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(1,694,527)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(1,636,367)</w:t>
            </w:r>
          </w:p>
        </w:tc>
      </w:tr>
      <w:tr>
        <w:trPr>
          <w:trHeight w:val="223"/>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amounted to $58,160 and $85,345 for the three months ended March 31, 2025 and 2024, respectively. Depreciation expense for property and equipment is recorded in selling, general &amp; administrating expenses on the Company’s statement of operations. During the three months ended March 31, 2025 and 2024, the Company acquired property and equipment in the amount of $163,366 and $1,406,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CLASSIFIED AS HELD FOR SALE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classified the land, building, leasehold improvements, and certain equipment located at 28411 Race Track Road, Bonita Springs, Florida, 34135 (the “Race Track Road Property”) as held for sale. On February 14, 2024, the Company finalized the sale of the Race Track Road Property for cash in the amount of $2,455,000. The Company recorded a gain on the sale in the amount of $1,807,516. Proceeds of the sale in the amount of $353,815 were used to pay the mortgage and accrued interest on the Race Track Road Property. Total expenses related to the sale were $165,755, including a commission of $147,300, state taxes of $17,185, and closing fees of $1,270.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classified the land and building located at 220 Oak Hill Road, Mountain Top, Pennsylvania, as held for sale.</w:t>
      </w:r>
    </w:p>
    <w:p>
      <w:pPr>
        <w:sectPr>
          <w:pgSz w:w="11900" w:h="16838" w:orient="portrait"/>
          <w:cols w:equalWidth="0" w:num="1">
            <w:col w:w="11240"/>
          </w:cols>
          <w:pgMar w:left="320" w:top="216"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these assets consisted of the following at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RIGHT OF USE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12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871,372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871,372</w:t>
            </w:r>
          </w:p>
        </w:tc>
      </w:tr>
      <w:tr>
        <w:trPr>
          <w:trHeight w:val="230"/>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5,070,561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5,070,561</w:t>
            </w:r>
          </w:p>
        </w:tc>
      </w:tr>
      <w:tr>
        <w:trPr>
          <w:trHeight w:val="234"/>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5,941,933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5,941,933</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216" w:right="339" w:bottom="1440" w:gutter="0" w:footer="0" w:header="0"/>
          <w:type w:val="continuous"/>
        </w:sectPr>
      </w:pPr>
    </w:p>
    <w:p>
      <w:pPr>
        <w:spacing w:after="0" w:line="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lease expense for the three months ended March 31, 2025 and 2024 was entirely comprised of operating leases and amounted to $70,866 and $8,165,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ROU asset amortization for the three months ended March 31, 2025 and 2024 was $61,469 and $4,175, respectively. The difference between the lease expense and the associated ROU asset amortization consists of interest.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discount rate for operating leases was 7.00% at March 31, 2025 and December 31, 2024. The weighted-average remaining lease term of operating leases was 2.63 and 2.85 years at March 31, 2025 and December 31, 2024, respectively.</w:t>
      </w:r>
    </w:p>
    <w:p>
      <w:pPr>
        <w:sectPr>
          <w:pgSz w:w="11900" w:h="16838" w:orient="portrait"/>
          <w:cols w:equalWidth="0" w:num="1">
            <w:col w:w="11240"/>
          </w:cols>
          <w:pgMar w:left="320" w:top="216" w:right="339" w:bottom="1440" w:gutter="0" w:footer="0" w:header="0"/>
          <w:type w:val="continuous"/>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assets – operating leases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Warehouse equipment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 of 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12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515,460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565,931</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121,626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128,158</w:t>
            </w:r>
          </w:p>
        </w:tc>
      </w:tr>
      <w:tr>
        <w:trPr>
          <w:trHeight w:val="230"/>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r>
      <w:tr>
        <w:trPr>
          <w:trHeight w:val="234"/>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644,007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705,476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229"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519,842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121,626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2,599</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648,389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(241,317)</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(239,660)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period ended March 31, 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278,963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period ended March 31, 2027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period ended March 31, 2028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118,509</w:t>
            </w: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period ended March 31, 2029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34,950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period ended March 31, 2030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(64,016)</w:t>
            </w:r>
          </w:p>
        </w:tc>
        <w:tc>
          <w:tcPr>
            <w:tcW w:w="0" w:type="dxa"/>
            <w:vAlign w:val="bottom"/>
          </w:tcPr>
          <w:p>
            <w:pPr>
              <w:spacing w:after="0"/>
              <w:rPr>
                <w:sz w:val="1"/>
                <w:szCs w:val="1"/>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Right of use asset – financing leases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404,858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404,858</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736,156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736,156</w:t>
            </w:r>
          </w:p>
        </w:tc>
      </w:tr>
      <w:tr>
        <w:trPr>
          <w:trHeight w:val="210"/>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(646,624)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(616,741)</w:t>
            </w: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right of use assets for the three months ended March 31, 2025 and 2024 was $29,883 and $24,915,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 for financing leases was 5.78% at March 31, 2025 and 5.83 % at December 31, 2024. The weighted-average remaining lease term of financing leases was 2.40 and 2.80 years at March 31, 2025 and December 31, 2024,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 are summarized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furniture and equipment truck dated October 14,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in the original amount of $514,173 payable in sixty monthly installments of $9,942 including interest at the rate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6.01%. During the three months ended March 31, 2025, the Company made principal and interest payments on this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 in the amount of $28,658 and $1,167,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87,278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 amount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$152,548 payable in eighty-four monthly installments of $2,188 including interest at the rate of 5.44%. During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 the Company made principal and interest payments on this lease obligation in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amounts of $5,862 and $702,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53,549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 amount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$80,413 payable in eighty-four monthly installments of $1,148 including interest at the rate of 5.0%. During the three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months ended March 31, 2025, the Company made principal and interest payments on this lease obligation in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of $3,196 and $248,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equipment dated September 12, 2024 in the original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$180,740 payable in sixty monthly payments in the minimum amount of $2,846 including interest at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6.01%. The amount of the monthly payments is based upon the amount of supplies and materials the Company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from the lessor each month. During the three months ended March 31, 2025, the Company made principal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interest payments on this lease obligation in the amounts of $1,580 and $2,154,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maturities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87,850</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There was no accrued interest on financing leases at three months ended March 31, 2025 and December 31, 2024.</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maturities of lease liabilities: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twelve months ended March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110,994</w:t>
            </w: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43,817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16,826</w:t>
            </w: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17,865</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of Artisan Specialty Foods, Inc. (“Artisan”), igourmet, and Mouth. These assets include non-compete agreements, customer relationships, trade names, internally developed technology, and goodwill. The Company has also capitalized the development of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Amortizable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6, 2024, the Company signed an agreement to sell intangible assets of its consumer e-commerce business igourmet, generally consisting of customer lists, domains, and trademarks for cash of $700,000. The purchase price was $947,650, consisting of the following: The Company received cash of $617,000. The buyer also assumed liabilities of $330,650. The intangible assets sold were fully amortized on the Company’s balance sheet, and the Company recognized a gain on the sale of $834,463, net of acquisition costs in the amount of $113,187.</w:t>
      </w:r>
    </w:p>
    <w:p>
      <w:pPr>
        <w:sectPr>
          <w:pgSz w:w="11900" w:h="16838" w:orient="portrait"/>
          <w:cols w:equalWidth="0" w:num="1">
            <w:col w:w="11240"/>
          </w:cols>
          <w:pgMar w:left="320" w:top="216" w:right="33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14, 2024, the Company acquired certain assets of Goldan Organics, Inc. (the “GO Transaction”). See note 5. Pursuant to the GO Transaction, the Company recorded an intangible asset in the amount of $198,593 representing the client base of Golden Organics. On December 19, 2024, the Company acquired, through its subsidiary Golden Organics, Inc., certain assets of LoCo Food Distribution, LLC , Inc. (the “LoCo Transaction”). See Note</w:t>
      </w:r>
    </w:p>
    <w:p>
      <w:pPr>
        <w:spacing w:after="0" w:line="1" w:lineRule="exact"/>
        <w:rPr>
          <w:sz w:val="20"/>
          <w:szCs w:val="20"/>
          <w:color w:val="auto"/>
        </w:rPr>
      </w:pPr>
    </w:p>
    <w:p>
      <w:pPr>
        <w:ind w:firstLine="8"/>
        <w:spacing w:after="0" w:line="260" w:lineRule="auto"/>
        <w:tabs>
          <w:tab w:leader="none" w:pos="1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LoCo Transaction, the Company recorded an intangible asset in the amount of $232,972 representing a customer list. The total amount of intangible assets obtained in the GO and LOCO transactions was $431,565. This amount is being amortized over a period of 60 months.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Names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Names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2025 and 2024 was $21,578 and $0,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Non-Amortizable Intangible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Other non-amortizable intangible assets consist of $217,000 of trade names held by Artisan. The Company followed the guidance of ASC 360,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Plant, and Equipment</w:t>
      </w:r>
      <w:r>
        <w:rPr>
          <w:rFonts w:ascii="Times New Roman" w:cs="Times New Roman" w:eastAsia="Times New Roman" w:hAnsi="Times New Roman"/>
          <w:sz w:val="18"/>
          <w:szCs w:val="18"/>
          <w:color w:val="auto"/>
        </w:rPr>
        <w:t>, in assessing these assets for impairment. ASC 360 states that impairment testing should be completed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the asset’s carrying value may not be recoverable. In management’s judgment, there are no indications that the carrying value of these trade names may not be recoverable, and it determined that impairment testing was not required.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The following is the net book value of these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Trade Names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Trade Names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at March 31, 2025 and December 31, 2024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payables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payroll and commissions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405" w:hanging="405"/>
        <w:spacing w:after="0"/>
        <w:tabs>
          <w:tab w:leader="none" w:pos="4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4,813,312   $   5,829,506</w:t>
      </w:r>
    </w:p>
    <w:p>
      <w:pPr>
        <w:spacing w:after="0" w:line="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176,078</w:t>
      </w:r>
      <w:r>
        <w:rPr>
          <w:rFonts w:ascii="Times New Roman" w:cs="Times New Roman" w:eastAsia="Times New Roman" w:hAnsi="Times New Roman"/>
          <w:sz w:val="17"/>
          <w:szCs w:val="17"/>
          <w:color w:val="auto"/>
        </w:rPr>
        <w:t>824,116</w:t>
      </w:r>
    </w:p>
    <w:p>
      <w:pPr>
        <w:spacing w:after="0" w:line="31"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4,989,390</w:t>
        <w:tab/>
        <w:t>$</w:t>
      </w:r>
      <w:r>
        <w:rPr>
          <w:sz w:val="20"/>
          <w:szCs w:val="20"/>
          <w:color w:val="auto"/>
        </w:rPr>
        <w:tab/>
      </w:r>
      <w:r>
        <w:rPr>
          <w:rFonts w:ascii="Times New Roman" w:cs="Times New Roman" w:eastAsia="Times New Roman" w:hAnsi="Times New Roman"/>
          <w:sz w:val="18"/>
          <w:szCs w:val="18"/>
          <w:u w:val="single" w:color="auto"/>
          <w:color w:val="auto"/>
        </w:rPr>
        <w:t>6,653,622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60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229" w:right="33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ACCRUED SEPARATION COSTS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2023, the Company entered into a Severance Note, an Agreement and General Release, and a Side Letter thereto (the “SK Agreements”) with Sam Klepfish,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The SK Agreements also call for the delivery of 400,000 shares of the Company’s common stock valued at $168,000 based upon the closing price of the Company’s common stock on Mr. Klepfish’s separation date of February 28, 2023; in addition, for delivery on June 1, 2027 of additional shares of the Company’s common stock equal to the greater of (i) the number of shares with an aggregate fair market value of $400,000 on such date, or (ii) 266,666 shares. The Company also agreed to pay a total of $1,199 of the Consolidated Omnibus Reconciliation Act (“COBRA”) insurance costs on behalf of Mr. Klepfish over eighteen months. The total amount accrued in connection with the SK Agreements was $1,819,199.</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2023, the Company entered into a separation agreement (the “Wiernasz Separation Agreement”) with Justin Wiernasz, a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2024, the Company entered into a separation agreement (the “Tang Separation Agreement”) with Richard Tang, its Chief Financial Officer, effective as of December 31, 2023. Pursuant to the Tang Separation Agreement, the Company has agreed to pay to Mr. Tang, in equal installments over a five-month period, the gross sum of $113,918. In addition, Mr. Tang may submit for reimbursement up to $4,000 of legal expenses connected with the review of the Tang Separation Agreement. The severance payment will be made in the following installments: (i) $25,890 to be paid the week of March 4, 2024; (ii) $5,178 to be paid each successive week for seventeen weeks beginning the week of March 11, 2024, until the severance payment is completed. In addition, if Tang timely elects to continue his group health insurance benefits under COBRA, the Company will reimburse Tang’s group health insurance premiums for the lesser of: (a) the period of time Employee is eligible to continue his group health insurance benefits under COBRA and (b) the five-month period immediately following the separation date. Reimbursements will be paid within thirty days of when Mr. Tang submits a request for reimbursement and supporting documentation.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paid cash in the amount of $83,333 and $83,333, respectively, to Mr. Klepfish in connection with the SK Agreements.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made the following payments in connection with the Wiernasz Separation Agreement: The Company made COBRA payments on behalf of Mr. Weirnasz in the amount of $0 and $967,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made the following payments in connection with the Tang Separation Agreement: The Company paid cash to Mr. Tang in the amount of $0 and $41,125, respectively; and COBRA payments on behalf of Mr. Tang in the amount of $0 and $2,885,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amounts accrued, paid, and outstanding on these agreements as of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Paid /</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Mr. Klepfish:</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1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through March 6,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(692,308)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307,692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307,692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upon agreement execution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 June 1, 2027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 Issued in April 2023</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168,000</w:t>
            </w:r>
          </w:p>
        </w:tc>
        <w:tc>
          <w:tcPr>
            <w:tcW w:w="2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(168,000)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 Mr. Klepfish</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1,819,199</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(1,110,308</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708,891</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308,891</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Wiernasz:</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three equal payments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26,451</w:t>
            </w:r>
          </w:p>
        </w:tc>
        <w:tc>
          <w:tcPr>
            <w:tcW w:w="200" w:type="dxa"/>
            <w:vAlign w:val="bottom"/>
          </w:tcPr>
          <w:p>
            <w:pPr>
              <w:spacing w:after="0"/>
              <w:rPr>
                <w:sz w:val="19"/>
                <w:szCs w:val="19"/>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(26,451)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 Mr. Wiernasz</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Tang: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over seventeen weeks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113,918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(113,918)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COBRA - over five months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14,495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(14,495)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 Mr. Tang</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2,074,063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(1,365,172)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708,891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308,891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STOCK APPRECIATION RIGHTS LIABILITY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(“COO”). See Note 17.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valuation of the Smallwood SARs is summarized in the table below: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2023 - fair value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9,794</w:t>
            </w:r>
          </w:p>
        </w:tc>
      </w:tr>
      <w:tr>
        <w:trPr>
          <w:trHeight w:val="230"/>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revaluation</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245,226</w:t>
            </w:r>
          </w:p>
        </w:tc>
      </w:tr>
      <w:tr>
        <w:trPr>
          <w:trHeight w:val="210"/>
        </w:trPr>
        <w:tc>
          <w:tcPr>
            <w:tcW w:w="10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2023 -fair value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revaluation</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1,098,130</w:t>
            </w:r>
          </w:p>
        </w:tc>
      </w:tr>
      <w:tr>
        <w:trPr>
          <w:trHeight w:val="210"/>
        </w:trPr>
        <w:tc>
          <w:tcPr>
            <w:tcW w:w="10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2024 - fair value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revaluation</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60,595</w:t>
            </w:r>
          </w:p>
        </w:tc>
      </w:tr>
      <w:tr>
        <w:trPr>
          <w:trHeight w:val="223"/>
        </w:trPr>
        <w:tc>
          <w:tcPr>
            <w:tcW w:w="10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2025 -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LINE OF CREDIT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On June 6, 2022, the Company entered into a revolving credit facility with MapleMark (the “MapleMark Revolver”)</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a maturity date of August 25, 2025. The amount available under the MapleMark Revolver is $1,500,000.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and interest payments due under the MapleMark Revolver are payable monthly. Amounts due under the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MapleMark Revolver bear interest at the greater of (a) the Base Rate (the rate of interest per annum quoted in the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Rates” section of The Wall Street Journal from time to time and designated as the “Prime Rate”) plus 0.25%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annum and (b) 5.50% per annum. At March 31, 2025, the interest rate was 7.75%. During the three months ended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 the Company borrowed the amount of $500,000 under the MapleMark Revolver, and repaid the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$500,000. During the three months ended March 31, 2025, the Company paid interest in the amount of</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$1,804 on the MapleMark Revolver.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NOTES PAYABLE</w:t>
      </w:r>
    </w:p>
    <w:p>
      <w:pPr>
        <w:spacing w:after="0" w:line="225" w:lineRule="exact"/>
        <w:rPr>
          <w:sz w:val="20"/>
          <w:szCs w:val="20"/>
          <w:color w:val="auto"/>
        </w:rPr>
      </w:pPr>
    </w:p>
    <w:tbl>
      <w:tblPr>
        <w:tblLayout w:type="fixed"/>
        <w:tblInd w:w="8680"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251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r>
    </w:p>
    <w:p>
      <w:pPr>
        <w:ind w:left="20" w:right="2780"/>
        <w:spacing w:after="0" w:line="252" w:lineRule="auto"/>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 Term Loan 1”) for the original amount of $5,324,733. On June 13, 2023, the Company entered into a term loan with MapleMark Bank (the “MapleMark Term Loan 3”) in the amount of $9,057,840. Principal and interest due on the MapleMark Term Loan 1 in the amounts of $5,324,733 and $61,715, respectively, were paid with proceeds of the MapleMark Term Loan 3. The MapleMark Term Loan 3 is payable in monthly installments of $80,025 commencing July 1, 2023 and continuing through June 13, 2048.</w:t>
      </w:r>
    </w:p>
    <w:p>
      <w:pPr>
        <w:spacing w:after="0" w:line="188" w:lineRule="exact"/>
        <w:rPr>
          <w:sz w:val="20"/>
          <w:szCs w:val="20"/>
          <w:color w:val="auto"/>
        </w:rPr>
      </w:pPr>
    </w:p>
    <w:p>
      <w:pPr>
        <w:ind w:left="20" w:right="2840"/>
        <w:spacing w:after="0" w:line="261" w:lineRule="auto"/>
        <w:rPr>
          <w:sz w:val="20"/>
          <w:szCs w:val="20"/>
          <w:color w:val="auto"/>
        </w:rPr>
      </w:pPr>
      <w:r>
        <w:rPr>
          <w:rFonts w:ascii="Times New Roman" w:cs="Times New Roman" w:eastAsia="Times New Roman" w:hAnsi="Times New Roman"/>
          <w:sz w:val="18"/>
          <w:szCs w:val="18"/>
          <w:color w:val="auto"/>
        </w:rPr>
        <w:t>Amounts outstanding under the Maple Mark Term Loan 3 will bear interest at the rate equal to the lesser of (a) the maximum lawful rate, or (b) the greater of (i) WSJP (the “Prime Rate” as published by The Wall Street Journal) plus 1.25% per annum or (ii) 4.50% per annum. At March 31, 2025, the interest rate was 9.50%. The MapleMark Term Loan 3 matures on June 13, 2048.</w:t>
      </w:r>
    </w:p>
    <w:p>
      <w:pPr>
        <w:spacing w:after="0" w:line="180" w:lineRule="exact"/>
        <w:rPr>
          <w:sz w:val="20"/>
          <w:szCs w:val="20"/>
          <w:color w:val="auto"/>
        </w:rPr>
      </w:pPr>
    </w:p>
    <w:p>
      <w:pPr>
        <w:ind w:left="20" w:right="2720"/>
        <w:spacing w:after="0" w:line="253" w:lineRule="auto"/>
        <w:rPr>
          <w:sz w:val="20"/>
          <w:szCs w:val="20"/>
          <w:color w:val="auto"/>
        </w:rPr>
      </w:pPr>
      <w:r>
        <w:rPr>
          <w:rFonts w:ascii="Times New Roman" w:cs="Times New Roman" w:eastAsia="Times New Roman" w:hAnsi="Times New Roman"/>
          <w:sz w:val="18"/>
          <w:szCs w:val="18"/>
          <w:color w:val="auto"/>
        </w:rPr>
        <w:t>The MapleMark Term Loan 3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MapleMark Term Loan 3 also provides that the Company and its subsidiaries on a consolidated basis, meet a Fixed Charge Coverage Ratio as described in detail in the MapleMark Term Loan 3. The MapleMark Term Loan 3 contains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Innovative Food Properties LLC and are secured by mortgages on their real estate located in Florida, Illinois, and Pennsylvania and substantially all of their assets, in each case, subject to certain exceptions and permitted liens.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 created a discount on the MapleMark Term Loan 3 for costs in the amount of $385,803 which will be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amortized over the life of the loan. During the three months ended March 31, 2025, the Company amortized $1,284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these costs to interest expense. During the three months ended March 31, 2025, the Company made principal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and interest payments in the amount of $30,403 and $197,087, respectively, on this loan. At March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accrued interest on this note was $72,273.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8,864,709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8,895,112</w:t>
            </w: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$20,000. The note was due in January 2006 and the Company is currently accruing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this note at 1.9%. During the three months ended March 31, 2025, the Company accrued interest in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$96 on this note. At March 31, 2025, accrued interest on this note was $18,962.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$350,000 issued in connection with the GO Acquisition (the GO Note”). The GO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is payable in 60 equal monthly instalments of $6,766 and bears interest at the rate of 6.0%. During the three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months ended March 31, 2025, the Company made principal and interest payments on the GO note in the amount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$15,201 and $3,295, respectively.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329,783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344,984</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9,214,492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9,260,096</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(376,086)</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(377,370)</w:t>
            </w:r>
          </w:p>
        </w:tc>
      </w:tr>
      <w:tr>
        <w:trPr>
          <w:trHeight w:val="26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discount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8,838,406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8,882,726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190,052</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maturities, net of discount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8,658,425</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8,692,674</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8,838,406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 total of $91,235 and $91,347 accrued interest on notes payable at March 31, 2025 and December 31, 2024,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maturities of notes payable as of March 31, 2025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148,868</w:t>
            </w:r>
          </w:p>
        </w:tc>
      </w:tr>
      <w:tr>
        <w:trPr>
          <w:trHeight w:val="21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184,967</w:t>
            </w:r>
          </w:p>
        </w:tc>
      </w:tr>
      <w:tr>
        <w:trPr>
          <w:trHeight w:val="21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201,256</w:t>
            </w:r>
          </w:p>
        </w:tc>
      </w:tr>
      <w:tr>
        <w:trPr>
          <w:trHeight w:val="21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219,050</w:t>
            </w:r>
          </w:p>
        </w:tc>
      </w:tr>
      <w:tr>
        <w:trPr>
          <w:trHeight w:val="21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231,728</w:t>
            </w:r>
          </w:p>
        </w:tc>
      </w:tr>
      <w:tr>
        <w:trPr>
          <w:trHeight w:val="229"/>
        </w:trPr>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8,228,623</w:t>
            </w:r>
          </w:p>
        </w:tc>
      </w:tr>
      <w:tr>
        <w:trPr>
          <w:trHeight w:val="223"/>
        </w:trPr>
        <w:tc>
          <w:tcPr>
            <w:tcW w:w="10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total number of shares of common stock issued and outstanding was 56,831,090 and 53,986,793, respectively. As of December 31, 2024, total number of shares of common stock issued and outstanding was 56,009,032 and 53,164,735, respectively. At March 31, 2025 and December 31, 2024, a total of 2,844,297 shares of common stock, respectively, were deemed issued but not outstanding. At March 31, 2025 and December 31, 2024, an additional 798,091 and 738,032 shares, respectively, were classified as common stock to be issued. These shares represent shares of common stock vested under the Company’s executive stock compensation plans, and are in the process of being administratively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14, 2025, the Company issued the following shares of common stock to its executive officers pursuant to executive compensation plans: 530,665 shares were issued to its CEO; 133,632 shares were issued to its COO; and 73,735 shares were issued to its CFO. These shares were classified as shares to be issued on the Company’s balance sheet at December 31, 2024. There was no gain or loss recorded on this transaction.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Received from Sale of Subsidiary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(see note 3). The Company Haley had no assets or liabilities at the time of the sale; the Company valued the 21,126 shares of common stock at the market price on the date of the acquisition of $1.00 per sale and recorded a gain in the amount of $21,126 on this transaction.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based executive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Stock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2023, the Company entered into an employment agreement with Bill Bennett to become the Company’s CEO. On November 3, 2023, the Company recognized that the hiring of Mr. Bennett was protracted, and the original employment agreement calculated the number of shares of common stock to be granted in connection with the CEO Stock Plan on the basis of the number of shares of common stock outstanding as of October 2022, which did not take into consideration the number of shares that were issued to a departing executive and to certain other employees of the Company thereafter. Accordingly, the number of shares issuable to Mr. Bennett at each price target was adjusted, effective as of the original date of the plan.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r>
      <w:tr>
        <w:trPr>
          <w:trHeight w:val="229"/>
        </w:trPr>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6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Stock Price 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r>
      <w:tr>
        <w:trPr>
          <w:trHeight w:val="209"/>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975,133</w:t>
            </w:r>
          </w:p>
        </w:tc>
        <w:tc>
          <w:tcPr>
            <w:tcW w:w="100" w:type="dxa"/>
            <w:vAlign w:val="bottom"/>
            <w:shd w:val="clear" w:color="auto" w:fill="CCEEFF"/>
          </w:tcPr>
          <w:p>
            <w:pPr>
              <w:spacing w:after="0"/>
              <w:rPr>
                <w:sz w:val="18"/>
                <w:szCs w:val="18"/>
                <w:color w:val="auto"/>
              </w:rPr>
            </w:pP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731,350</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487,567</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365,675</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365,675</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r>
      <w:tr>
        <w:trPr>
          <w:trHeight w:val="234"/>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the CEO Stock Plan was determined via a Monte Carlo market-based performance stock awards model to be $660,541. This amount will be recorded as a charge to additional paid-in capital on a straight-line basis over 34 months. During the three months ended March 31, 2025 and 2024, the amount of $58,283 was charged to operations pursuant to the CEO Stock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7, 2023, the Company issued 678,302 shares of common stock, net of 296,831 shares withheld for income tax purposes, to its Chief Executive Officer pursuant the achievement of the $0.60 price target in the CEO Stock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2024, 731,350 shares of common stock vested pursuant to the achievement of the $0.80 price target. These shares were issued on July 9,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28, 2024, 487,567 shares of common stock vested pursuant to the achievement of the $1.00 price target. These shares were issued on July 9,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price target of $1.20 per share under the CEO Stock Plan was achieved and 365,675 shares of common stock vested; on October 7, 2024, the price target of $1.40 per share under the CEO Stock Plan was achieved and 365,675 shares of common stock vested; on December 16, 2024, the price target of $1.60 per share under the CEO Stock Plan was achieved and 243,783 shares of common stock vested. The total number of shares vested at for achievement of the $1.20, $1.40, and $1.60 price targets was 975,133. On February 6, 2025, a total of 530,665 shares of common stock were issued in satisfaction of this obligation, net of 444,468 shares withheld for taxes.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2025, the price target of $1.80 per share under the CEO Stock Plan was achieved and 243,783 shares of common stock vested, and on March 3, 2025, the price target of $2.00 per share under the CEO Stock Plan was achieved and 243,783 shares of common stock vested. The total number of shares vested for achievement of the $1.80 and $2.00 price targets was 487,566; these share are classified as common stock issuable on the Company’s balance sheet at March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shares unvested under the CEO Stock Plan at March 31, 2025.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r>
      <w:tr>
        <w:trPr>
          <w:trHeight w:val="230"/>
        </w:trPr>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6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Stock Price 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r>
      <w:tr>
        <w:trPr>
          <w:trHeight w:val="209"/>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00" w:type="dxa"/>
            <w:vAlign w:val="bottom"/>
            <w:shd w:val="clear" w:color="auto" w:fill="CCEEFF"/>
          </w:tcPr>
          <w:p>
            <w:pPr>
              <w:spacing w:after="0"/>
              <w:rPr>
                <w:sz w:val="18"/>
                <w:szCs w:val="18"/>
                <w:color w:val="auto"/>
              </w:rPr>
            </w:pP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147,470</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98,313</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73,735</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73,735</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r>
        <w:trPr>
          <w:trHeight w:val="234"/>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the COO Stock Plan was determined via a Monte Carlo market-based performance stock awards model to be $199,951. This amount will be recorded as a charge to additional paid-in capital on a straight-line basis over 31.5 months. During the three months ended March 31, 2025 and 2024, the amount of $19,043 was charged to operations pursuant to the COO Stock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17, 2024, 196,627 shares of common stock vested pursuant to the achievement of the $0.87 price target. These shares were issued on July 9,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2024, the price target of $1.16 per share under the COO Stock Plan was achieved and 147,470 shares of common stock vested pursuant to this plan; on November 13, 2024, the price target of $1.45 per share under the COO Stock Plan was achieved, and 98,313 shares of common stock vested. On March 14, 2025, 133,632 shares of common stock were issued in satisfaction of these obligations, net of 112,151 shares withheld for taxes.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2025, the price target of $1.74 per share under the COO Stock Plan was achieved and 73,735 shares of common stock vested; and on March 7, 2025, the price target of $2.03 per share under the COO Stock Plan was achieved, and 73,735 shares of common stock vested. The total number of shares vested for achievement of the $1.74, and $2.03 price targets was 147,470; these shares are classified as common stock issuable on the Company’s balance sheet at March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 total of 147,471 shares of common stock remain unvested under the COO Stock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2023, the Company entered into an employment agreement with Gary Schubert to become the Company’s CFO effective January 1, 2024. Pursuant to this agreement, Mr. Schubert was provided with an incentive compensation plan (the “CFO Stock Plan”) whereby Mr. Schubert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r>
      <w:tr>
        <w:trPr>
          <w:trHeight w:val="230"/>
        </w:trPr>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6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Stock Price 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r>
      <w:tr>
        <w:trPr>
          <w:trHeight w:val="209"/>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100" w:type="dxa"/>
            <w:vAlign w:val="bottom"/>
            <w:shd w:val="clear" w:color="auto" w:fill="CCEEFF"/>
          </w:tcPr>
          <w:p>
            <w:pPr>
              <w:spacing w:after="0"/>
              <w:rPr>
                <w:sz w:val="18"/>
                <w:szCs w:val="18"/>
                <w:color w:val="auto"/>
              </w:rPr>
            </w:pP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98,313</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65,542</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r>
      <w:tr>
        <w:trPr>
          <w:trHeight w:val="216"/>
        </w:trPr>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r>
      <w:tr>
        <w:trPr>
          <w:trHeight w:val="234"/>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the CFO Stock Plan was determined via a Monte Carlo market-based performance stock awards model to be $238,747 at inception (see “Stock Plan Valuation” section below). This amount will be amortized over the 30-month life of the plan beginning January 1, 2024. During the three months ended March 31, 2025 and 2024, the amount of $23,875 was charged to operations pursuant to the CFO Stock Plan.</w:t>
      </w:r>
    </w:p>
    <w:p>
      <w:pPr>
        <w:sectPr>
          <w:pgSz w:w="11900" w:h="16838" w:orient="portrait"/>
          <w:cols w:equalWidth="0" w:num="1">
            <w:col w:w="11240"/>
          </w:cols>
          <w:pgMar w:left="320" w:top="229"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2024, the price target of $1.23 per share under the CFO Stock Plan was achieved and 131,085 shares of common stock vested pursuant to this plan. On February 6, 2025, 73,735 shares of common stock were issued in satisfaction of this obligation, net of 57,350 shares withheld for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2024, the price target of $1.63 per share under the CFO Stock Plan was achieved and 98,313 shares of common stock vested; and on March 10, 2025, the price target of $2.04 per share under the CFO Stock Plan was achieved and 65,542 shares of common stock vested. The total number of shares vested for achievement of the $1.63 and $2.04 price targets was 163,855; these share are classified as common stock issuable on the Company’s balance sheet at March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 total of 196,627 shares of common stock remain unvested under the CFO Stock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COO. The Smallwood SARs vest upon issuance, and expire on December 31, 2026; 750,000 of the Smallwood SARs are priced at $1.50 per share, and 750,000 are priced at $2.00 per share. It is the Company’s intention to settle the Smallwood SARs in cash if the stock price exceeds the $1.50 and $2.00 per share price prior to the expiration date.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March 31, 2025, the Smallwood SARs had a fair value of $1,413,746; the increase in fair value in the amount of $60,595 during the three months ended March 31, 2025 was charged to non-cash compensation. See Note 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The Smallwood SARs were valued using the Black-Scholes valuation model utilizing the following variables: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3"/>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5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86.58 - 131.55%</w:t>
            </w: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5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- 4.71%</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Remaining expected term (years)</w:t>
            </w:r>
          </w:p>
        </w:tc>
        <w:tc>
          <w:tcPr>
            <w:tcW w:w="1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- 2.75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 Expired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2025 (unaudited)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31, 2025 (unaudited)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intrinsic value of options outstanding and exercisable at March 31, 2025 was $0. Aggregate intrinsic value represents the difference between the Company’s closing stock price on the last trading day of the fiscal period, which was $1.87 at March 31, 2025 and the exercise price multiplied by the number of options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charged the amount of $0 and $2,034, respectively, to operations for the vesting of stock options.</w:t>
      </w:r>
    </w:p>
    <w:p>
      <w:pPr>
        <w:sectPr>
          <w:pgSz w:w="11900" w:h="16838" w:orient="portrait"/>
          <w:cols w:equalWidth="0" w:num="1">
            <w:col w:w="11240"/>
          </w:cols>
          <w:pgMar w:left="320" w:top="229"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has determined that the Company operates in one reportable segment: the delivery of specialty foods. This determination was made based upon the characteristics of our business and the information used by the CODM in order monitor the business and allocate resources.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analysis of the Company’s segments is determined by the Chief Operating Decision Maker (“CODM”). The Company’s CODM is a group consisting of our executive management team: Bill Bennett, CEO; Brady Smallwood, COO; and Gary Schubert, CFO.</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uses net income to monitor budget versus actual results. The CODM also uses revenue by category to monitor the growth of the business in each of our target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segment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8,299,715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8,908,936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(609,221)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6,562,167</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2,811,095</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3,751,072)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4,433,618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2,355,045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2,078,573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Direct to consumer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1,234,866</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(1,234,866)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208,211</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44,855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19,548,566</w:t>
            </w:r>
          </w:p>
        </w:tc>
        <w:tc>
          <w:tcPr>
            <w:tcW w:w="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15,518,153</w:t>
            </w:r>
          </w:p>
        </w:tc>
        <w:tc>
          <w:tcPr>
            <w:tcW w:w="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4,030,413</w:t>
            </w:r>
          </w:p>
        </w:tc>
        <w:tc>
          <w:tcPr>
            <w:tcW w:w="220" w:type="dxa"/>
            <w:vAlign w:val="bottom"/>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15,062,759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11,713,219</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3,349,540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4,485,807</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3,804,934</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680,873</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OpEx:</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Payroll &amp; related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2,852,101</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2,474,852</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377,249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101,769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138,656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(36,887)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Office, facility, vehicles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481,211</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221,373</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259,838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149,973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195,670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(45,697)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147,300</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(147,300)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51,942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(31,542)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3,758</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22,472</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(18,714)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 and credit card processing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762,489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290,432</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472,057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4,380,247</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3,544,326</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835,921</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Non-cash OpEx: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27,555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22,882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4,673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161,796</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222,133</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(60,337)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108,302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110,261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Taxes &amp;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31,077</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79,238</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(48,161)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434,514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209,166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215,450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subsidiaries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(21,126)</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(1,807,516)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1,807,516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(1,900)</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(1,900)</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207,266</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(1,615,092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1,821,044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from continuing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(430,436)</w:t>
            </w:r>
          </w:p>
        </w:tc>
        <w:tc>
          <w:tcPr>
            <w:tcW w:w="3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1,441,186</w:t>
            </w:r>
          </w:p>
        </w:tc>
        <w:tc>
          <w:tcPr>
            <w:tcW w:w="3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(1,871,622)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25,136,372</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19,049,823</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163,366</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1,406</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to Prior Executive Officers under Separation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cash in the amount of $83,333 to Mr. Klepfish, its prior CEO, in connection with the SK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cash in the amount of $83,333 to Mr. Klepfish.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Cobra payments on behalf of Mr. Weirnasz, its prior Director of Strategic Acquisitions and previous board member, in the amount of $967.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cash payments to Mr. Tang, its prior CFO, in the amount of $41,125, and made Cobra payments on behalf of Mr. Tang in the amount of $2,885.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MAJOR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Company’s largest customer, U.S. Foods, Inc. and its affiliates, accounted for approximately 34% and 49% of total sales, respectively; Sam’s Club, a membership-based warehouse retailer and subsidiary of Walmart Inc. represented 19% and 0% of total sales, respectively; and Gate Gourmet, the leading global provider of airline catering solutions and provisioning services for airlines, represented 12% and 17% of total sales,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 2025, the Company agreed to a settlement in the amount of $210,000 in connection with a contractual dispute with High-Impact Analytics, LLC. This amount has been charged to operations and accrued on the Company’s balance sheet at March 31, 2025.</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report to “we,” “us,” “IVFH” or the “Company” refer to Innovative Food Holdings, Inc. and all of its wholly-owned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(the “Private Securities Litigation Reform Act”), and is subject to the safe harbor created by that act. The safe harbor created by the Private Securities Litigation Reform Act will not apply to certain “forward-looking statements” because we issued “penny stock” (as defined in Section 3(a)(51) of the Securities Exchange Act of 1934, as amended (the “Exchange Act”), and Rule 3(a)(51-1) under the Exchange Act) during the three year period preceding the date(s) on which those forward-looking statements were first made, except to the extent otherwise specifically provided by rule, regulation or order of the Securities and Exchange Commission (the “SEC”).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 including sale and acquisition of certain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three major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or other trade restrictions that may increase costs or disrupt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in the Preparation of Financial Statements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Doubtful Accounts Receivable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provides an allowance for doubtful accounts equal to the estimated uncollectible amounts pursuant to the guidance of Accounting Standards Update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(Topic 326), as codified in Accounts Standards Codification (“ASC”)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Credit Losses</w:t>
      </w:r>
      <w:r>
        <w:rPr>
          <w:rFonts w:ascii="Times New Roman" w:cs="Times New Roman" w:eastAsia="Times New Roman" w:hAnsi="Times New Roman"/>
          <w:sz w:val="18"/>
          <w:szCs w:val="18"/>
          <w:color w:val="auto"/>
        </w:rPr>
        <w:t>. Under ASC 326, the Company utilizes a current and expected credit loss (CECL) impairment model. ASU 2016-13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$40,002 at March 31, 2025 and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build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IVFH team is adept at evaluating and certifying the food safety and supply chain capabilities of small batch producers who don’t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sectPr>
          <w:pgSz w:w="11900" w:h="16838" w:orient="portrait"/>
          <w:cols w:equalWidth="0" w:num="1">
            <w:col w:w="11240"/>
          </w:cols>
          <w:pgMar w:left="320" w:top="229" w:right="339" w:bottom="144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this unique, premium assortment to serve the needs of Professional Chefs in settings such as restaurants, hotels, country clubs, national chain accounts, casinos, hospitals and catering houses. We provide these premium customers with products that can’t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Lastly, we sell these food to large retailers for resale on their shelves to the end customer. Between this variety of sales channels, we are able to serve our Professional Chef customers wherever they are located.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our new retail business, as well as our airline catering distribution business, out of our 200,000 square foot facility in Mountain Top, Pennsylvania,. We also operate warehouse activities in our owned 28,000 square foot facility in the greater Chicago area. Once our acquisition of Golden Organics closes, we will have another warehouse, operating out of Denver, CO, measuring approximately 20,000 square feet. We have the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These warehouses have the ability to ship packages and pallets of all sizes through overnight shipping. We also leverage our own fleet of trucks to deliver directly to our Professional Chef customers within our reach.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customer service and sales teams, as ex-chefs themselves, go beyond customer service to offer our Professional Chefs customer support, menu ideas, and preparation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discussion may contain forward-looking statements that involve risks and uncertainties. Our future results could differ materially from the forward-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statements discussed in this report. This discussion should be read in conjunction with our consolidated financial statements, the notes thereto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information included elsewhere in the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Highlights For the fiscal quarter ended March 31, 2025, IVFH reported revenue of $19.5 million, a 26% increase compared to $15.5 million in 2024. Our organic revenue growth, which excludes the impact of divestitures and acquisitions, was an impressive 23% for the full quarter. Revenue growth was particularly strong in our national distribution, with total revenue increasing 133%. These results reflect our strategic efforts to enhance our market presence and expand our customer base.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Q1 Revenue Breakdown:</w:t>
      </w:r>
    </w:p>
    <w:p>
      <w:pPr>
        <w:spacing w:after="0" w:line="225" w:lineRule="exact"/>
        <w:rPr>
          <w:sz w:val="20"/>
          <w:szCs w:val="20"/>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Channels: Largely made up of our Distributor Relationships and supported by our Drop Ship model. This category contributed $8.3 million, which is 42.5% of our total revenue. This represents a decrease of 7% from $8.9 million in 2024, primarily due to continued headwinds in our legacy drop ship business.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Distribution: Captures our growing partnerships with airline caterers and our new national retail customer. This category generated $6.6 million, or 33.6% of total revenue, marking a 133% increase from $2.8 million in 2024. These sales are generally delivered to the customer through 3PL carriers or FedEx.</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Distribution: Consists mainly of local sales team relationships and our local fleet delivering direct from warehouse. This category brought in $4.4 million, or 22.7% of total revenue, an increase of 88% from $2.3 million in 2024, supported by $2.0 million from the recent acquisitions of LoCo Foods and Golden Organics.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Divested; however, will continue to impact revenue throughout much of 2025 due to the historical revenues generated by igourmet.com through Q3 2024. In Q1 2025, Direct-to-Consumer revenue declined by 100%, compared to $1.2 million in Q1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Consists of numerous activities, mainly monetizing the excess space in Pennsylvania. This category contributed $253k, or 1.3% of total revenue, an increase of 22% from $208k in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for the quarter increased 28.6% to $15.1 million compared to $11.7 million last year. Gross margin dropped by 157 basis points to 22.9%, mainly due to changes in our sales mix as we expanded our cheese business. Cheese products sold to retailers carry lower margins than our other offerings and accounted for 19% of Q1 2025 sales, versus 0% in Q1 2024. Excluding cheese, gross margins improved 282 bps. However, the cheese business is expected to improve with better volume costing and cutting efficiency. The margin decline was partially offset by lower shipping costs, which boosted 280 bps, representing 9.6% of revenue in Q1 2025 compared to 12.4% last year.</w:t>
      </w:r>
    </w:p>
    <w:p>
      <w:pPr>
        <w:sectPr>
          <w:pgSz w:w="11900" w:h="16838" w:orient="portrait"/>
          <w:cols w:equalWidth="0" w:num="1">
            <w:col w:w="11240"/>
          </w:cols>
          <w:pgMar w:left="320" w:top="229" w:right="339" w:bottom="144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Operating Expenses (Cash OpEx):</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costs increased by $377 thousand to $2.9 million. This increase was mainly due to higher headcount to support national distribution business, amounting to $320 thousand, and employees added through acquisitions completed in Q4 2024, which amounted to $307 thousand. These increases were partially offset by reduced benefits expense of $100 thousand, reduced payroll taxes of $70 thousand, and bonus accrual reduced by $91 thousand compared to the prior year period.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and IT Costs: Reduced by $37 thousand to $101 thousand, reflecting the Company’s efforts to streamline IT operations and reduce software and hardware expenses.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expenses increased by $259 thousand. The increase is attributed to new office locations costing $139 thousand and larger truck fleet costs of $65k as a result of the acquisition of Golden Organics and LoCo Foods. As part of this acquisition, LoCo Foods relocated from Fort Collins to Denver, consolidating offices. By consolidating offices, Q1 results reflect $50 thousand in rent and utilities related to the closed facility that will not continue in subsequent quarters. Additionally, additional building-related costs at our cheese distribution facility amount to $56 thousand. These costs are anticipated to continue in subsequent quarters.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Digital Marketing Costs: Significant reduction of $166 thousand to $5 thousand, resulting from the restructuring of marketing programs and a strategic shift away from direct-to-consumer advertising.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legal fees increased by $472 thousand to $762 thousand, with approximately $288 thousand attributable to various legal and transactional activities related to acquisitions, contractual dispute settlement, and other corporate actions which are not expected to recur.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Cash OpEx increased: The total Cash OpEx increased by $835 thousand, reflecting growth in our national distribution channels and M&amp;A activity in Q4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Operating Expenses (Non-Cash OpEx):</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Decreased by $60 thousand to $161 thousand, due to revaluation of stock options and other equity-based incentives to attract and retain key personnel.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decreased by $2 thousand to $108 thousand, reflecting a similar net book value of property, plant, and equipment compared to the prior year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Expense: Increased by $4 thousand to $27 thousand, as a result of customer shut downs in our local distribution sector.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Intangible Assets: No impairment costs in 2025 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Non-Recurring Expenses: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Assets: No transactions in Q1 2025 and $1.8 million in 2024, from the sale of the headquarters building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Subsidiaries: No transactions in Q1 2025 and $21 thousand from the sale of Haley Group, Inc.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reported a net loss from continuing operations of $430 thousand, compared to a net income of $1.4 million in 2024, representing a decline of $1.9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at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IVFH had current assets of $21.7 million, including cash and cash equivalents of $1.1 million, and current liabilities of $7.7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net working capital of $14.0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Analysis:</w:t>
      </w:r>
    </w:p>
    <w:p>
      <w:pPr>
        <w:spacing w:after="0" w:line="225"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 Used $1.0 million, primarily due to changes in working capital components. The significant changes in working capital included: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by $1.5 million, primarily reflecting the collection of receivables related to elevated cheese sales in Q4 2024. Cheese sales totalled approximately $5.4 million in Q4 compared to $3.8 million in Q1 2025, as the company completed the Q4 initial pipeline fill. The higher Q4 sales drove an increase in accounts receivable at year-end, and the subsequent collection of these balances contributed to the decrease in Q1 2025. There has been no material change in collection performance during the period.</w:t>
      </w:r>
    </w:p>
    <w:p>
      <w:pPr>
        <w:sectPr>
          <w:pgSz w:w="11900" w:h="16838" w:orient="portrait"/>
          <w:cols w:equalWidth="0" w:num="1">
            <w:col w:w="11240"/>
          </w:cols>
          <w:pgMar w:left="320" w:top="229" w:right="339" w:bottom="1149"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149"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increased by $617 thousand, primarily to support anticipated demand from new retail and airline customers and to replenish depleted inventory levels associated with the newly acquired LoCo Foods distribution business. This increase is consistent with the Company’s overall sales growth, as revenues increased approximately 26% year-over-year, and higher inventory levels were expected to support this expanded sales volume.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accrued liabilities decreased by $1.8 million, primarily due to paydowns of inventory purchases related to the elevated Q4 2024 cheese sales, which were settled in Q1 2025. In addition, the decrease reflects the payment of aged vendor payables associated with the acquired LocoFoods business.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activities: Net cash used in investing activities was $163 thousand, primarily related to purchases of property and equipment. These investments included equipment for cheese cutting operations and warehouse improvements to support the consolidation of Loco Foods and Golden Organics, acquired in Q4 2024.</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 Used $134 thousand, primarily from the principal payments on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Capital Needs IVFH anticipates significant capital expenditure in the coming years to support its growth initiatives and operational improvements.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areas of investment include:</w:t>
      </w:r>
    </w:p>
    <w:p>
      <w:pPr>
        <w:spacing w:after="0" w:line="207"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Distribution Facilities: Upgrading and expanding warehouse and distribution facilities to accommodate increased demand and improve operational efficiency.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Investments: Enhancing the company’s digital platforms and IT infrastructure to support e-commerce growth and improve customer experience.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Investing in new product lines and innovations to meet changing customer preferences and expand market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plans to finance these capital needs through a combination of internal cash flows, debt financing, and potential equity offerings. IVFH is committed to maintaining a strong balance sheet and ensuring sufficient liquidity to support its strategic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Major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with a major customer and related economic dependence information is set forth below and following our discussion of Liquidity and Capital Resources.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34% and 50% of total sales in the three months ended March 31, 2025 and 2024, respectively; Sam’s Club, a membership-based warehouse retailer and subsidiary of Walmart Inc. represented 19% and 0% of total sales, respectively; and Gate Gourmet, the leading global provider of airline catering solutions and provisioning services for airlines, represented 12% and 17% of total sales,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continue to be a key focus for the Company this year. However, no assurance can be given that we will be successful and inflationary pressure on our profits will likely continue through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business and success is subject to numerous risk factors as detailed in its Annual Report on Form 10-K for the year ended December 31, 2024 and other of its Current Reports on Form 8-K, all of which reports are available at no cost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by us in the reports that we file or submit pursuant to the requirements of the Exchange Act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as defined in Rule 13a-15(f) and 15d-(f) under the Exchange Act) as of the end of the period covered by this report, have determined that our disclosure controls and procedures were effective at March 31, 2025 at the reasonable assurance level. In making this assessment, our management used the criteria set forth by the Committee of Sponsoring Organizations of the Treadway Commission in Internal Control-Integrated Framework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Exchange Act Rules 13a-15(d) and 15d-15 that occurred during the period covered by this report that has materially affected, or is reasonably likely to materially affect, our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entered into an agreement with High Impact Analytics, LLC (“High Impact”) whereby the latter would provide sales management and support services in exchange for a variable fee. The agreement contained a provision requiring 30 days’ written notice for “cancellation”, following which High Impact would be entitled to commissions for 120 days thereafter; the agreement also explicitly expired on September 11, 2024 (at which point, by its own terms, it was “no longer in force”), and was not renewed. High Impact demanded continuing variable fee payments on the grounds that the Company had not “cancelled” the agreement, and the Company responded that the agreement expressly terminated on September 11, 2024, such that no cancellation was required. On March 13, 2025, High Impact filed suit in Benton County, Arkansas, alleging that it is entitled to fees in the amount of $500,000, or alternatively treble damages under Ark. Code Ann. § 4-70-301. On May 1, 2025, the Company reached a settlement agreement to resolve a dispute with High Impact. In connection with the settlement, the Company will pay $210 thousand in Q2 2025. The related amount has been accrued for in the financial statements as of March 31,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quarterly period ended March 31, 2025, none of our directors or officers (as defined in Rule 16a-1(f) promulgated under the Exchange Act) adopted or terminated any “Rule 10b5-1 trading arrangement” or any “non-Rule 10b5-1 trading arrangement,” as each term is defined in Item 408 of Regulation S-K.</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Articles of Incorporation (incorporated by reference to Exhibit 3.1 of the Company’s Annual Report on Form 10-KSB for the year ended</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December 31, 2004 filed with the Securities and Exchange Commission on September 28, 2005).</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Bylaws of the Company (incorporated by reference to Exhibit 3.2 of the Company’s Annual Report on Form 10-K for the year</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ended December 31, 2010 filed with the SEC on March 16, 2011).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Bylaws of the Company (incorporated by reference to Exhibit 3.1 of the Company’s Current Report on Form 8-K filed with the</w:t>
              </w:r>
            </w:hyperlink>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SEC on March 13, 2023).</w:t>
              </w:r>
            </w:hyperlink>
          </w:p>
        </w:tc>
        <w:tc>
          <w:tcPr>
            <w:tcW w:w="8240" w:type="dxa"/>
            <w:vAlign w:val="bottom"/>
            <w:gridSpan w:val="10"/>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Asset Purchase Agreement between igourmet and Advansiv Gourmet Group, Inc., dated August 6, 2024 (incorporated by reference to</w:t>
              </w:r>
            </w:hyperlink>
          </w:p>
        </w:tc>
      </w:tr>
      <w:tr>
        <w:trPr>
          <w:trHeight w:val="196"/>
        </w:trPr>
        <w:tc>
          <w:tcPr>
            <w:tcW w:w="1140" w:type="dxa"/>
            <w:vAlign w:val="bottom"/>
          </w:tcPr>
          <w:p>
            <w:pPr>
              <w:spacing w:after="0"/>
              <w:rPr>
                <w:sz w:val="17"/>
                <w:szCs w:val="17"/>
                <w:color w:val="auto"/>
              </w:rPr>
            </w:pPr>
          </w:p>
        </w:tc>
        <w:tc>
          <w:tcPr>
            <w:tcW w:w="7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Exhibit 10.1 of the Company’s Current Report on Form 8-K filed with the SEC on August 12, 2024).</w:t>
              </w:r>
            </w:hyperlink>
          </w:p>
        </w:tc>
        <w:tc>
          <w:tcPr>
            <w:tcW w:w="2820" w:type="dxa"/>
            <w:vAlign w:val="bottom"/>
            <w:gridSpan w:val="4"/>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Amended and Restated Asset Purchase Agreement, dated August 30, 2024, between Innovative Gourmet LLC, iGourmet LLC and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Advansiv Gourmet Group, Inc. (incorporated by reference to Exhibit 10.1 of the Company’s Current Report on Form 8-K filed with the</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SEC on September 5, 2024).</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Transition Services Agreement, dated August 30, 2024, between Innovative Gourmet LLC, iGourmet LLC and Advansiv Gourmet Group,</w:t>
              </w:r>
            </w:hyperlink>
          </w:p>
        </w:tc>
      </w:tr>
      <w:tr>
        <w:trPr>
          <w:trHeight w:val="196"/>
        </w:trPr>
        <w:tc>
          <w:tcPr>
            <w:tcW w:w="1140" w:type="dxa"/>
            <w:vAlign w:val="bottom"/>
          </w:tcPr>
          <w:p>
            <w:pPr>
              <w:spacing w:after="0"/>
              <w:rPr>
                <w:sz w:val="17"/>
                <w:szCs w:val="17"/>
                <w:color w:val="auto"/>
              </w:rPr>
            </w:pPr>
          </w:p>
        </w:tc>
        <w:tc>
          <w:tcPr>
            <w:tcW w:w="9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Inc. (incorporated by reference to Exhibit 10.2 of the Company’s Current Report on Form 8-K filed with the SEC on September 5, 2024).</w:t>
              </w:r>
            </w:hyperlink>
          </w:p>
        </w:tc>
        <w:tc>
          <w:tcPr>
            <w:tcW w:w="200" w:type="dxa"/>
            <w:vAlign w:val="bottom"/>
            <w:gridSpan w:val="2"/>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Asset Purchase Agreement, dated October 14, 2024, by and among the Company, Golden Organics, Inc. and David Rickard (incorporated</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by reference to Exhibit 10.1 of the Company’s Current Report on Form 8-K filed with the SEC on October 18, 2024).</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Seller Financing Note (incorporated by reference to Exhibit 10.2 of the Company’s Current Report on Form 8-K filed with the</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SEC on October 18, 2024).</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and Rule 15d-14(a) under the Securities Exchange Act of 1934,</w:t>
            </w:r>
          </w:p>
        </w:tc>
      </w:tr>
      <w:tr>
        <w:trPr>
          <w:trHeight w:val="196"/>
        </w:trPr>
        <w:tc>
          <w:tcPr>
            <w:tcW w:w="1140" w:type="dxa"/>
            <w:vAlign w:val="bottom"/>
          </w:tcPr>
          <w:p>
            <w:pPr>
              <w:spacing w:after="0"/>
              <w:rPr>
                <w:sz w:val="17"/>
                <w:szCs w:val="17"/>
                <w:color w:val="auto"/>
              </w:rPr>
            </w:pPr>
          </w:p>
        </w:tc>
        <w:tc>
          <w:tcPr>
            <w:tcW w:w="5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980" w:type="dxa"/>
            <w:vAlign w:val="bottom"/>
            <w:gridSpan w:val="6"/>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and Rule 15d-14(a) under the Securities Exchange Act of 1934,</w:t>
            </w:r>
          </w:p>
        </w:tc>
      </w:tr>
      <w:tr>
        <w:trPr>
          <w:trHeight w:val="196"/>
        </w:trPr>
        <w:tc>
          <w:tcPr>
            <w:tcW w:w="1140" w:type="dxa"/>
            <w:vAlign w:val="bottom"/>
          </w:tcPr>
          <w:p>
            <w:pPr>
              <w:spacing w:after="0"/>
              <w:rPr>
                <w:sz w:val="17"/>
                <w:szCs w:val="17"/>
                <w:color w:val="auto"/>
              </w:rPr>
            </w:pPr>
          </w:p>
        </w:tc>
        <w:tc>
          <w:tcPr>
            <w:tcW w:w="5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980" w:type="dxa"/>
            <w:vAlign w:val="bottom"/>
            <w:gridSpan w:val="6"/>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18 U.S.C. 1350, as adopted pursuant to Section 906 of the Sarbanes-Oxley Act</w:t>
            </w:r>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18 U.S.C. 1350, as adopted pursuant to Section 906 of the Sarbanes-Oxley Act</w:t>
            </w:r>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00" w:type="dxa"/>
            <w:vAlign w:val="bottom"/>
            <w:gridSpan w:val="11"/>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right="2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omitted pursuant to Item 601(b)(10)(iv) of Regulation S-K because they are not material and are the type that the Company treats as private or confidential. The Company hereby agrees to furnish a copy of any omitted portion to the SEC upon request.</w:t>
      </w:r>
    </w:p>
    <w:p>
      <w:pPr>
        <w:spacing w:after="0" w:line="1" w:lineRule="exact"/>
        <w:rPr>
          <w:sz w:val="20"/>
          <w:szCs w:val="20"/>
          <w:color w:val="auto"/>
        </w:rPr>
      </w:pPr>
    </w:p>
    <w:p>
      <w:pPr>
        <w:ind w:left="340" w:hanging="332"/>
        <w:spacing w:after="0" w:line="26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pursuant to Item 601(a)(6) of Regulation S-K. The Company hereby agrees to furnish a copy of any omitted portion to the SEC upon request.</w:t>
      </w:r>
    </w:p>
    <w:p>
      <w:pPr>
        <w:sectPr>
          <w:pgSz w:w="11900" w:h="16838" w:orient="portrait"/>
          <w:cols w:equalWidth="0" w:num="1">
            <w:col w:w="11240"/>
          </w:cols>
          <w:pgMar w:left="320" w:top="229"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William Bennett</w:t>
            </w:r>
          </w:p>
        </w:tc>
        <w:tc>
          <w:tcPr>
            <w:tcW w:w="1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Robert William Bennett</w:t>
            </w:r>
          </w:p>
        </w:tc>
        <w:tc>
          <w:tcPr>
            <w:tcW w:w="1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80" w:type="dxa"/>
            <w:vAlign w:val="bottom"/>
          </w:tcPr>
          <w:p>
            <w:pPr>
              <w:spacing w:after="0"/>
              <w:rPr>
                <w:sz w:val="19"/>
                <w:szCs w:val="19"/>
                <w:color w:val="auto"/>
              </w:rPr>
            </w:pPr>
          </w:p>
        </w:tc>
      </w:tr>
      <w:tr>
        <w:trPr>
          <w:trHeight w:val="414"/>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Schubert</w:t>
            </w:r>
          </w:p>
        </w:tc>
        <w:tc>
          <w:tcPr>
            <w:tcW w:w="1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Gary Schubert</w:t>
            </w:r>
          </w:p>
        </w:tc>
        <w:tc>
          <w:tcPr>
            <w:tcW w:w="1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80" w:type="dxa"/>
            <w:vAlign w:val="bottom"/>
          </w:tcPr>
          <w:p>
            <w:pPr>
              <w:spacing w:after="0"/>
              <w:rPr>
                <w:sz w:val="19"/>
                <w:szCs w:val="19"/>
                <w:color w:val="auto"/>
              </w:rPr>
            </w:pPr>
          </w:p>
        </w:tc>
      </w:tr>
      <w:tr>
        <w:trPr>
          <w:trHeight w:val="529"/>
        </w:trPr>
        <w:tc>
          <w:tcPr>
            <w:tcW w:w="37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RULE 13a-14(a) AND RULE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William Bennett,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William Bennett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RULE 13a-14(a) AND RULE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(the “Company”) on Form 10-Q for the period ended March 31, 2025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William Bennett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2025</w:t>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(the “Company”) on Form 10-Q for the period ended March 31, 2025 as filed with the Securities and Exchange Commission on the date hereof (the “Report”), I, Gary Schubert,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69" Type="http://schemas.openxmlformats.org/officeDocument/2006/relationships/hyperlink" Target="http://www.sec.gov/Archives/edgar/data/312257/000114420405030172/v025859_ex3-1.htm" TargetMode="External"/><Relationship Id="rId70" Type="http://schemas.openxmlformats.org/officeDocument/2006/relationships/hyperlink" Target="http://www.sec.gov/Archives/edgar/data/312257/000118518511000325/ex3-2.htm" TargetMode="External"/><Relationship Id="rId71" Type="http://schemas.openxmlformats.org/officeDocument/2006/relationships/hyperlink" Target="http://www.sec.gov/Archives/edgar/data/312257/000118518523000204/ex_488087.htm" TargetMode="External"/><Relationship Id="rId72" Type="http://schemas.openxmlformats.org/officeDocument/2006/relationships/hyperlink" Target="http://www.sec.gov/Archives/edgar/data/312257/000118518524000784/ex_711079.htm" TargetMode="External"/><Relationship Id="rId73" Type="http://schemas.openxmlformats.org/officeDocument/2006/relationships/hyperlink" Target="http://www.sec.gov/Archives/edgar/data/312257/000118518524000868/ex_721326.htm" TargetMode="External"/><Relationship Id="rId74" Type="http://schemas.openxmlformats.org/officeDocument/2006/relationships/hyperlink" Target="http://www.sec.gov/Archives/edgar/data/312257/000118518524000868/ex_721327.htm" TargetMode="External"/><Relationship Id="rId75" Type="http://schemas.openxmlformats.org/officeDocument/2006/relationships/hyperlink" Target="http://www.sec.gov/Archives/edgar/data/312257/000118518524001009/ex_734542.htm" TargetMode="External"/><Relationship Id="rId76" Type="http://schemas.openxmlformats.org/officeDocument/2006/relationships/hyperlink" Target="http://www.sec.gov/Archives/edgar/data/312257/000118518524001009/ex_7345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2025-05-15T11:07:47Z</dcterms:created>
  <dcterms:modified xsi:type="dcterms:W3CDTF">2025-05-15T11:07:47Z</dcterms:modified>
</cp:coreProperties>
</file>