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3880" w:right="2220" w:hanging="1643"/>
        <w:spacing w:after="0" w:line="500" w:lineRule="auto"/>
        <w:tabs>
          <w:tab w:leader="none" w:pos="244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4200" w:right="2120" w:hanging="2081"/>
        <w:spacing w:after="0" w:line="537" w:lineRule="auto"/>
        <w:tabs>
          <w:tab w:leader="none" w:pos="23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u w:val="single" w:color="auto"/>
          <w:color w:val="auto"/>
        </w:rPr>
        <w:t>000-09376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-161925</wp:posOffset>
            </wp:positionV>
            <wp:extent cx="152590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20-1167761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9696 Bonita Beach Rd., Ste. 208</w:t>
            </w:r>
          </w:p>
        </w:tc>
        <w:tc>
          <w:tcPr>
            <w:tcW w:w="5500" w:type="dxa"/>
            <w:vAlign w:val="bottom"/>
          </w:tcPr>
          <w:p>
            <w:pPr>
              <w:spacing w:after="0"/>
              <w:rPr>
                <w:sz w:val="24"/>
                <w:szCs w:val="24"/>
                <w:color w:val="auto"/>
              </w:rPr>
            </w:pP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Bonita Springs, Florida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34135</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(239) 596-0204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was approximately $23,176,767 as of June 28, 2024, based upon a closing price of $1.22 per share for the registrant’s common stock on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2025, a total of 53,986,793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80" w:type="dxa"/>
            <w:vAlign w:val="bottom"/>
            <w:gridSpan w:val="8"/>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9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80" w:type="dxa"/>
            <w:vAlign w:val="bottom"/>
            <w:gridSpan w:val="8"/>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9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78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52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738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42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453"/>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0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3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98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8.</w:t>
            </w:r>
          </w:p>
        </w:tc>
        <w:tc>
          <w:tcPr>
            <w:tcW w:w="94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Reports of Independent Registered Public Accounting Firm (PCAOB ID Number 5036)</w:t>
            </w:r>
          </w:p>
        </w:tc>
        <w:tc>
          <w:tcPr>
            <w:tcW w:w="310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2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66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5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Disclosures Regarding Foreign Jurisdictions That Prevent Inspections</w:t>
            </w:r>
          </w:p>
        </w:tc>
        <w:tc>
          <w:tcPr>
            <w:tcW w:w="44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453"/>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900" w:type="dxa"/>
            <w:vAlign w:val="bottom"/>
          </w:tcPr>
          <w:p>
            <w:pPr>
              <w:spacing w:after="0"/>
              <w:rPr>
                <w:sz w:val="24"/>
                <w:szCs w:val="24"/>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00" w:type="dxa"/>
            <w:vAlign w:val="bottom"/>
          </w:tcPr>
          <w:p>
            <w:pPr>
              <w:spacing w:after="0"/>
              <w:rPr>
                <w:sz w:val="24"/>
                <w:szCs w:val="24"/>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9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0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2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900" w:type="dxa"/>
            <w:vAlign w:val="bottom"/>
          </w:tcPr>
          <w:p>
            <w:pPr>
              <w:spacing w:after="0"/>
              <w:rPr>
                <w:sz w:val="18"/>
                <w:szCs w:val="18"/>
                <w:color w:val="auto"/>
              </w:rPr>
            </w:pPr>
          </w:p>
        </w:tc>
      </w:tr>
      <w:tr>
        <w:trPr>
          <w:trHeight w:val="194"/>
        </w:trPr>
        <w:tc>
          <w:tcPr>
            <w:tcW w:w="920" w:type="dxa"/>
            <w:vAlign w:val="bottom"/>
          </w:tcPr>
          <w:p>
            <w:pPr>
              <w:spacing w:after="0"/>
              <w:rPr>
                <w:sz w:val="16"/>
                <w:szCs w:val="16"/>
                <w:color w:val="auto"/>
              </w:rPr>
            </w:pPr>
          </w:p>
        </w:tc>
        <w:tc>
          <w:tcPr>
            <w:tcW w:w="94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70</w:t>
            </w:r>
          </w:p>
        </w:tc>
      </w:tr>
      <w:tr>
        <w:trPr>
          <w:trHeight w:val="351"/>
        </w:trPr>
        <w:tc>
          <w:tcPr>
            <w:tcW w:w="9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PROVE INACCURATE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or may contain, certain “forward-looking statements” within the meaning of the Private Securities Litigation Reform Act of 1995. Such forward-looking statements involve significant risks and uncertainties. Such statements may include, without limitation, statements with respect to the Company’s plans, objectives, projections, expectations and intentions and other statements identified by words such as “may,” “will,” “could,” “would,” “should,” “believes,” “expects,” “anticipates,” “estimates,” “intends,” “plans,” “potential” or similar expressions. These statements are based upon the current beliefs and expectations of the Company’s management and do not constitute guarantees of future performance. Actual results could differ materially from those contained in the forward-looking statements and are subject to significant risks and uncertainties, including those discussed under “Risk Factors,” as well as those discussed elsewhere in this Form 10-K. Actual results may differ significantly from those set forth in the forward-looking statements. These forward-looking statements involve risks and uncertainties that are subject to change based on various factors (many of which are beyond the Company’s control).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further cautioned not to place undue reliance on these forward-looking statements, which speak only as of the date of this Form 10-K or, in the case of documents referred to or incorporated by reference, the date of those documents.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Form 10-K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“we,” “us,” “our,” “our company,” the “Company,” “IVFH,” or similar terminology refer to Innovative Food Holdings, Inc., a Florida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on June 14, 1979 under the laws of the State of Colorado originally under the name Alpha Solarco Inc. From June 1979 through February 2003, we were either inactive or involved in discontinued business ventures. On February 18, 2003, we changed our name to Fiber Application Systems Technology, Ltd. On February 17, 2004, we changed our state of incorporation by merging into Innovative Food Holdings, Inc., a Florida shell corporation formed for that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 is adept at evaluating and certifying the food safety and supply chain capabilities of small batch producers who do not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cannot typically be found through their broadline distributor’s warehouse assortment. We distribute these products directly to Professional Chefs in Chicago through our subsidiary, Artisan Specialty Foods, Inc. (“Artisan”), and nationally through our e-commerce businesses on Amazon.com and our own website. We also drop ship specialty foods to Professional Chefs nationally through the websites of broadline distributors, such as US Foods, Inc (“USF”). Between this variety of sales channels, we are able to serve our Professional Chef customers wherever they are located.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service our customers from three warehouses: a 200K square foot facility in Mountain Top, Pennsylvania (an important industry distribution hub for the Northeast), a 28K square foot facility in the greater Chicago area, and a 22K square foot facility in the greater Denver area.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Chef Advisors, as ex-chefs themselves, go beyond customer service to offer our Professional Chefs customer support, menu ideas, and preparation guidance.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distribute over 6,000 perishable and specialty food products, including origin-specific seafood, domestic and imported meats, exotic game and poultry, artisanal cheeses, freshly prepared meals, caviar, wild and cultivated mushrooms, micro-greens, organic farmed and manufactured food products, estate-bottled olive oils and aged vinegars, and expertly curated food gift baskets and subscription-based offerings. Products are sold under both the vendor’s brands and various Company-owned brands.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selection includes high-quality items like Alaskan wild king salmon, Gulf of Mexico day-boat snapper, prime rib of American kurobuta pork, dry-aged buffalo tenderloin, white asparagus, free-range and organic chicken, truffle oils, fennel pollen, fresh morels, Trumpet Royale mushrooms, and artisanal cheeses such as Truffle Gouda and Halloumi. These offerings ensure that our nationwide customers have access to the best food products from around the world, delivered quickly and cost-effectively.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chef-inspired customer service department is available by telephone, email, and on social media platforms. This department is made up of a team of chefs and culinary experts who are experienced in all aspects of perishable and specialty products. By employing chefs and culinary experts to handle customer service, we can provide our customers with extensive information about our products, including flavor profile and ingredient qualities, recipe and usage ideas, origin, seasonality, and availability, as well as cross-utilization ideas and complementary uses of products.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logistics team manages the shipping and delivery process of every package to ensure timely delivery of products to our customers. The logistics team receives shipping information on all products ordered, and packages are monitored from origin to delivery. If delivery service is interrupted, our logistics department begins the process of expediting the package to its destination or potentially reshipping the package with a goal of 100% customer satisfaction. Our logistics team works directly with our suppliers on an ongoing basis, to ensure that the appropriate packaging and shipping specifications are in place at all times.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Share Issuance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2024, Innovative Gourmet LLC (“Innovative Gourmet”), which is a wholly-owned subsidiary of the Company, and igourmet, LLC, a Florida limited liability company (“igourmet”), entered into an amended and restated asset purchase agreement (the “Amended and Restates APA”). Pursuant to the Amended and Restates APA, Innovative Gourmet sold to igourmet substantially all of its assets related to marketing and selling certain artisan foods and related drop-ship fulfillment services including the website www. igourmet.com (the “Purchased Assets”), for total consideration of $700,000. This transaction was closed on October 23, 2024. In connection with the closing of the transaction, Innovative Gourmet and igourmet entered into a Transition Services Agreement, dated August 30, 2024, pursuant to which Innovative Gourmet provided certain inventory and fulfilment services related to the Purchased Assets for a period of thirty days after closing pursuant to that certain Transition Services Agreement, dated August 30, 2024, with igourmet.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an asset purchase agreement (the “Golden APA”) with Golden Organics, Inc., a Colorado corporation (the “Golden Organics”), and David Rickard. Pursuant to the Golden APA, the Company (i) purchased substantially all of the properties, business, and assets of Golden Organics used and/or useful in the operation of the Golden Organics’ business of wholesaling bulk organic ingredients and other related food products and (ii) assume certain liabilities and obligations of Golden Organics (such transaction, the “Golden Transaction”) for an aggregate purchase price of $1,580,000, which consists of (a) a cash payment of $1,230,000 after taking into account certain working capital adjustments at the closing of the Golden Transaction and (b) a promissory note of $350,000, payable to Golden Organics (the “Seller Financing Note”), with interest at six percent (6%) per annum for a term of sixty (60) months payable in equal monthly installments with the first payment due one month after the closing. The Seller Financing Note Need contains default, notice and acceleration provisions, including a default interest at twelve percent (12%), a five (5) day grace period, a five percent (5%) late fee, no prepayment penalty and a right of set-off. Under the Golden APA, David Rickard has agreed to provide assistance to the Company for a period of ninety (90) days following the closing with respect to the transitioning of the business and developing new business opportunities without any compensation. The Golden Transaction closed on November 18,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M Innovations LLC, a Delaware corporation and a wholly owned subsidiary of the Company (“M Innovation”) entered into an asset purchase agreement (the “M Innovation APA”) with M Specialty Foods Inc., a New York corporation (“M Speciality”). Pursuant to the M innovation APA, M Speciality purchased right, title, and interest in and to the assets of M Innovation in exchange of assuming the gift card liability of $174,637.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2024 and December 4, 2024, the Company entered into a series of securities purchase agreements with certain investors, pursuant to which, among other things, the Company issued the investors an aggregate of 2,031,250 shares of common stock of the Company at a purchase price of $1.60 per share, for an aggregate purchase price of $3,250,000.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 2024, the Company through its subsidiary, Golden Organics, acquired substantially all of LoCo’s (defined below) properties, business, and assets used and/or useful in the operation of LoCo’s business of sourcing and wholesaling food products, and agreed to assume certain liabilities of LoCo for an aggregate purchase price of $304,269, which is payable to LoCo’s lenders for all outstanding and unpaid indebtedness of LoCo, pursuant to that certain asset purchase agreement, dated December 20, 2024 (the “LoCo APA”), with LoCo Food Distribution LLC, a Colorado limited liability company and a wholesaler of food related products (“LoCo”), and Elizabeth G. Mozer and Benjamin Mozer. In addition, as an adjustment to the purchase price, if earned, Golden Organics will pay $53,430 as earnout if, in the twelve-month period, LoCo achieves certain revenue and adjusted EBITDA targets. In connection with the LoCo APA, Ms. Mozer entered into a consulting services agreement with Golden Organics to provide consulting services for a period of twelve (12) months with the option to extend on a month-to-month basis with respect to the transitioning of the relationships and knowledge concerning the LoCo’s business, which agreement also contains a two-year non-solicitation provision.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long-term strategy is still taking shape, but there are three clear elements at this point in our evolution to a profitable, growing specialty food service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at our heart, we have focused on growing a direct-to-chef specialty foodservice platform. It is a straightforward business, generates strong cash flow, and has great growth potential. In contrast, direct-to-consumer e-commerce is not a business we will focus on. We are in the process of ramping it down, and any remaining business will focus only on items we already carry in our foodservice channels, and which we can sell profitably, with no capital.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our core drop ship business (where we do not touch the inventory) needs to diversify with more partners and into additional sales channels. We have a strong relationship with US Foods, but the Company will benefit from having additional large partners. We have started this journey with the $10 million business we have built with Gate Gourmet. Other areas of focus include onboarding additional broadline distributors, additional airline caterers, Club channel partners, Amazon.com, etc. Sales channel diversification will continue to be a focus for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our specialty food distribution business (where we own the inventory, warehouses, and trucks) has opportunity for growth. Today, this business is called Artisan Specialty Foods, and only serves Chicago. It has doubled in size since we purchased it a decade ago, and done so with very little incremental investment. Growth opportunities in specialty distribution exist both in Chicago through category and customer expansion, as well as through mergers and acquisitions in new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is dependent on a limited number of key customers, which presents a concentration risk. While we continue to expand our customer base, any material reduction in business from these customers could adversely impact our financial performance. To mitigate this risk, we are actively diversifying our customer portfolio, exploring new markets, and strengthening relationships with both existing and potential clients to enhance revenue stability.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face intense competition in the marketing of our products and services, it is our belief that there are few companies offering a platform similar to ours, offering a broad range of unique, high quality, chef driven specialty products, for nationwide delivery as soon as the next day. Our primary competition is from local purveyors that supply a limited local market and have a limited range of products. In addition, many purveyors are well established, have reputations for success in the development and marketing of these types of products and services and have significantly greater financial, marketing, distribution, personnel and other resources. These financial and other capabilities permit such companies to implement extensive advertising and promotional campaigns, both generally and in response to efforts by additional competitors such as us, to enter into new markets and introduce new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Business Owners Policy with a general liability per occurrence limit of $1,000,000 and aggregate policy covering $2,000,000 of liability for all entities, as well as building coverage with a limit up to $4,100,000 for its building in IL. The Company carries an Auto Policy with non-owned automobile bodily injury and property damage coverage with a limit of $1,000,000 for all entities. The Company also carries an Umbrella policy of up to $14,000,000 which covers all entities, along with two excess umbrella policies that sit over the BOP and Umbrella policies. The excess umbrella policies have limits of $5,000,000 and $6,000,000. The Company carries a Cyber policy of up to $2,000,000 which insures the Company and its subsidiaries. The Company carries a Commercial Property Policy for its building in PA, with a limit of up to $18,074,530. Such insurance may not be sufficient to cover all potential claims against us and additional insurance may not be available in the future at a reasonable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federal and state laws regulate the delivery of fresh food products, requiring specialty foodservice third-party vendors to maintain at least $3,000,000 liability insurance coverage and compliance with Hazard Analysis and Critical Control Point (HACCP) standards. Key regulations include Pennsylvania’s Solid Waste Management Act, Clean Streams Law, Air Pollution Control Act, FDA’s Food Safety Modernization Act, Pennsylvania Food Code, FDA’s Fair Packaging and Labeling Act, Nutrition Labeling and Education Act, PA Food Safety Act, and Pennsylvania’s Weights and Measures Act. Compliance with these regulations is crucial to avoid penalties, ensure food safety, accurate labeling, and maintain profitability, as any changes that hinder our ability or increase costs could adversely impact our net revenues, gross margins,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acquired certain Trade Names in connection with the acquisitions of Golden Organics and LoCo. As of December 31, 2024, we are not aware of any valid claim or challenges to our right to use the registered trademarks or any counterfeit or other infringement to the registered trademarks.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engaged and empowered colleagues are key to business success. Attracting, developing, and retaining top local talent that embodies an ownership mentality drives the company’s long-term value. Our diverse colleagues and inclusive culture create an environment where colleagues can develop their skills and contribute to our success. We currently employ 132 employees, 92 full-time employees, including 8 chefs and 3 executive officers and 40 part-time employees. We believe that our relations with our employees are satisfactory. None of our employees are represented by a union.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9696 Bonita Beach Rd., Ste. 208, Bonita Springs, Florida 34135; our corporate website is www.ivfh.com; and our telephone number is (239) 596-0204. The contents of our website are not incorporated in or deemed to be a part of this Annual Report on Form 10-K.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requiring us to seek additional sources of capital.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we had an accumulated deficit of $36,209,764. We cannot assure you that we can achieve profitability on a quarterly or annual basis in the future. If revenues grow more slowly than we anticipate, or if operating expenses exceed our expectations or cannot be adjusted accordingly, or other extraordinary events occur, we will incur losses. Our potential success is contingent upon the effective development and commercialization of our services and products, as well as the continued expansion of our product portfolio and customer base, for which we can provide no assurance. Any future success we may achieve will be influenced by numerous factors, including those beyond our control or presently unforeseeable. These factors may include changes in or increased levels of competition, including the entry of additional competitors and increased success by existing competitors, changes in general economic conditions, increases in operating costs, including costs of supplies, personnel, marketing and promotions, reduced margins caused by competitive pressures, taxes, and other economic and non-economic factors. These conditions may have a materially adverse effect upon us or may force us to curtail operations. In addition, we could require additional funds to sustain and expand our sales and marketing activities, particularly if a well-financed competitor emerges. We can give no assurance that financing will be available in amounts or on terms acceptable to us, if at all. Our inability in such instance to obtain sufficient funds from our operations or external sources could require us to curtail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few key customers for most of our revenue and if we were to lose one or more of those clients and be unable to generate new sales to offset such loss, we may be forced to cease or curtail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2003, Next Day Gourmet initially contracted with our subsidiary, Food Innovations, Inc. (“Food Innovations”), to handle the distribution of over 3,000 perishable and specialty food products to customers of USF. Effective January 1, 2018, we executed a contract amendment between Food Innovations, our wholly owned subsidiary, and USF which provides for no limit on automatic annual renewals thereafter if no party gives the other 30 days’ notice of its intent not to renew. Our sales through USF generated gross revenues for us of $31,185,864 in the year ended December 31, 2024, and $34,070,052 in the year ended December 31, 2023. Those amounts contributed 43% and 48% of our total sales for each of 2024 and 2023, respectively. Other significant customers include Gate Gourmet and Sam’s Club. During the years ended December 31, 2024 and 2023, sales to Gate Gourmet amounted to $11,574,069, or 16% of total sales, and $10,742,556, or 15% of total sales, respectively. During the years ended December 31, 2024 and 2023, sales to Sam’s Club amounted to $5,520,214, or 8% of total sales, and $0, respectively. Our sales efforts within specialty foodservice are for the most part substantially dependent upon the efforts of the USF sales force. Although we have generated revenues from customers other than USF, if our relationship with USF were to be materially changed and we may not be able to secure alternative revenue streams to mitigate the impact of such a loss, which may result in us significantly curtailing our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variety of factors, including seasonality and the economic environment, may cause our operating results to fluctuate, leading to volatility in our stock price.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operational results have fluctuated in the past and may fluctuate in the future, depending upon a variety of factors, including changes in economic conditions, and shifts in the timing of holiday related purchases. Although our annual sales have historically had a significant seasonal aspect, this has become less pronounced following the divestment of the assets of igourmet.com and M Innovations LLC (“Mouth”). However, we have expanded our distribution of specialty cheeses, which are more seasonally relevant during the fourth quarter. Due to the seasonal nature of this business, we would be significantly and disproportionately affected by unforeseen events such as terrorist attacks or economic shocks (including those caused by worldwide pandemics or other factors) that negatively impact the retail environment or consumer buying patterns during our key selling season. Additionally, events such as pandemics, strikes, or weather-related delays that interfere with the shipment of goods during the critical holiday season would adversely affect 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Computer system disruption and cyber security attacks or a data breach could damage our relationships with our customers, harm our reputation, expose us to litigation and adversely affect our business.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systems are subject to damage or interruption from computer viruses, malicious attacks and other security breaches. The possibility of a cyberattack on any one or all of these systems is a serious threat.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business model, we collect, retain, and transmit confidential information over public networks. In addition to our own databases, we use third party service providers to store, process and transmit this information on our behalf. Although we contractually require these service providers to implement and use reasonable security measures, we cannot control third parties and cannot guarantee that a security breach will not occur in the future either at their location or within their systems. We have confidential security measures in place to protect both our physical facilities and digital systems from attacks. Despite these efforts, we may be vulnerable to targeted or random security breaches, acts of vandalism, computer viruses, misplaced or lost data, programming and/or human errors, or other similar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growing nature of our e-commerce presence and digital strategy, it is imperative that we and our partners maintain uninterrupted and secure operation of our: (i) computer hardware, (ii) software systems, (iii) customer marketing databases and other customer information, and (iv) ability to email our current and potential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systems are damaged or fail to function properly or reliably, we may incur substantial repair or replacement costs, experience data loss or theft and impediments to our ability to conduct our operations. Any material disruptions in our e-commerce presence or information technology systems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continuously improve our website, it may not attract or retain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potential or existing customers do not find our websites, a convenient place to shop, we may not attract or retain customers and our sales may suffer. To encourage the use of our website, we must continuously improve its accessibility, mobile capabilities, content and ease of use. In addition, customer traffic and our business would be adversely affected if competitors’ websites are perceived as easier to use or better able to satisfy customer needs. Furthermore, e-commerce conversion rates could be adversely affected by a variety of website related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to help grow our business may not be effective.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Maintaining and promoting awareness of our websites is important to our ability to attract and retain visitors. Generating a meaningful return on our investments in marketing initiatives may be difficult. The marketing efforts we implement may not succeed for a variety of reasons, including our inability to execute and implement our plans. External factors beyond our control may also impact the success of our marketing initiatives. Search engines frequently change the algorithms that determine the ranking and display of results of a user’s search and may make other changes to the way results are displayed, which can negatively affect the placement of links to our websites and, therefore, reduce the number of visits to our websites.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growing use of online ad-blocking software, including on mobile devices, may also impact the success of our marketing efforts because we may reach a smaller audience and fail to bring more visitors to our websites. In addition, ongoing privacy regulatory changes may impact the scope and effectiveness of marketing and advertising services generally, including those used related to our websites. We also seek to obtain website visitors through email. If we are unable to successfully deliver emails to potential customers or customers do not open our emails, whether by choice or because those emails are marked as low priority or spam, or for other reasons, our business could be adversely affected. Social networking websites, such as Facebook and others are another source of visits to our websites. As ecommerce and social networking evolve, we must continue to evolve our marketing tactics accordingly and, if we are unable to do so, our business could be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accurately predict customer demand for our products, we may lose customers or experience increased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the volume of products offered to our customers, we may be required or may elect, for business purposes, to increase inventory levels and the number of products maintained in our warehouses. If we overestimate customer demand for our products, excess inventory and outdated merchandise could accumulate, tying up working capital and potentially resulting in reduced warehouse capacity and inventory losses due to damage, theft and obsolescence. If we underestimate customer demand, it may disappoint customers who may turn to our competitors.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our domestic tax liabilities are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domestic and international trade policies could materially and adversely affect our business, financial condition, and results of operations. Any import tariffs may increase the cost of key food products and ingredients that we rely on, leading to higher production costs and potential supply chain disruptions. If we are unable to pass these increased costs on to customers through pricing adjustments, our profit margins could be adversely affected. The evolving trade environment may also create uncertainty in supplier relationships, cause delays in sourcing raw materials, and result in fluctuating commodity prices, further impacting our operations.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federal, state and local authorities. Outcomes from these audits could have an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attract and retain key personnel, our business and operating results may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key personnel in our senior management, whose vision for our company, knowledge of our business and expertise would be difficult to replace. If any one of our key employees leaves, is unable to work, or fails to perform and we are unable to find a qualified replacement, we may be unable to execute our business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manage our growth which could result in our being unable to maintain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for growth is focused on continued enhancements and expansion to our existing business model, offering a broader range of services and products, affiliating with additional vendors and through possible joint ventures. Pursuing this strategy presents a variety of challenges. We may not experience an increase in our services to our existing customers, and we may not be able to achieve the economies of scale, or provide the business, administrative and financial services, required to sustain profitability from servicing our existing and future customer base. Should we be successful in our expansion efforts, the expansion of our business would place further demands on our management, operational capacity and financial resources. To a significant extent, our future success will be dependent upon our ability to maintain adequate financial controls and reporting systems to manage a larger operation and to obtain additional capital upon favorable terms. We can give no assurance that we will be able to successfully implement our planned expansion, finance its growth, or manage the resulting larger operations, if any. In addition, we can give no assurance that our current systems, procedures or controls will be adequate to support any expansion of our operations. Our failure to manage our growth effectively could have a material adverse effect on our business, financial condition and results of operations.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specialty food and foodservice industry is very competitive, which may result in decreased revenue for us as well as increased expenses associated with marketing our services and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specialty food and foodservice businesses are highly competitive. We compete against other providers of quality foods, some of which sell their services globally, and some of these providers have considerably greater resources than we have. These competitors may have greater marketing and sales capacity, established distribution networks, significant goodwill and global name recognition. Our e-commerce and product catalog websites and paper mailings compete with other e-commerce websites and other catalogs, and other specialty foodservice providers that market products similar to ours. We compete with national, regional and local businesses utilizing a similar strategy, as well as traditional specialty food and foodservice distributors. The substantial sales growth in the direct-to-customer industry within the last decade has encouraged the entry of many new competitors, new business models, and an increase in competition from established companies. Furthermore, it may become necessary for us to reduce our prices in response to competition. This could negatively impact our ability to be profitable.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upon outside vendors and shippers for our specialty food products and interruption in the supply of our products or their failure to adhere to our quality standards may negatively impact our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Shortages in supplies of the food products we sell may impair our ability to provide our services. Our vendors are independent and we cannot guarantee their ability to source the products that we sell. Many of our products are wild-caught, and we cannot guarantee their availability in the future. Unforeseen strikes and labor disputes as well as adverse weather conditions may result in our inability to deliver our products in a timely manner. Also, if our suppliers fail to supply quality product in a timely and effective manner it could lead to an increase in recalls and customer litigation against us which could harm our brands’ images and negatively affect our business and operating results. The success of our business depends, in part, on our ability to timely and effectively deliver merchandise (e.g. fresh products) to our customers. We cannot control all of the various factors that might affect our fulfilment rates in direct-to-customer sales. We are heavily dependent upon one national carrier for the delivery of our fresh products to our customers. Accordingly, we are subject to risks, including labor disputes, union organizing activity, inclement weather, technology breakdowns, natural disasters, the closure of their offices or a reduction in operational hours due to an economic slowdown or health related crisis, possible acts of terrorism, their ability to provide delivery services to meet our shipping needs, disruptions or increased fuel costs, and costs associated with any regulations to address climate change. Since our customers rely on us to deliver their orders daily or within 24-72 hours, delivery delays could significantly harm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order to be successful, we must be able to enhance our existing products and develop and introduce new products and services to respond to changing market demand.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operate are characterized by frequently changing customer demand and the introduction of new “flavors of the month” as certain foods become more and less popular. Changes in customer preferences and buying trends may also affect our products differently. We must be able to stay current with preferences and trends in specialty food and address the customer tastes for each of our target customer demographics. We must also be able to identify and adjust products to cater to customer demands and dietary needs. For example, a change in customer preferences for gluten free items may not correlate to a similar change in buying trends for other specialty food. In order to be successful, we must be able to enhance our existing products and anticipate and develop and introduce new products and services to respond to changing market demand for new tastes. The development and enhancement of services and products entails significant risks, including:</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effectively adapt new food types to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conform our services and products to evolving industry standards;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introduce and market enhancements to our existing services and products or new services and products on a timely basis;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non-acceptance by the market of such new service and products.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misjudge either the market for our products or our customers’ purchasing habits, our sales may decline significantly which would negatively impact our business and operating results.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acquisitions we make or have made could result in difficulties in successfully managing our business and consequently harm our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expand by acquiring complementary businesses or assets in our current or ancillary markets. We cannot accurately predict the timing, size and success of our acquisition efforts and the associated capital commitments that might be required. We expect to face competition for acquisition candidates, which may limit the number of acquisition opportunities available to us and may lead to higher acquisition prices. There can be no assurance that we will be able to identify, acquire or profitably manage additional businesses or successfully integrate acquired businesses, if any, without substantial costs, delays or other operational or financial difficulties. In addition, acquisitions involve a number of other risks, including:</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acquired businesses or assets acquired to achieve expected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acquired business or assets into current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resources to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or personnel of the acquired businesses or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disappointing quality or functionality of acquired equipment and people;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unanticipated events, liabilities or contingencies.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Client dissatisfaction or performance problems at a single acquired business could negatively affect our reputation. The inability to acquire businesses on reasonable terms or successfully integrate and manage acquired companies, or the occurrence of performance problems at acquired companies, both prior and after acquisition, could result, or has resulted, in dilution, potential violations of bank covenants, unfavorable accounting treatment or one-time charges, and difficulties in successfully managing our business, requiring us to expend additional effort and expense in obtaining waivers, settling matters and otherwise addressing any such issues.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effectively manage our IT dependent business our reputation and operating results may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part, on third parties and factors over which we have limited control. We are also vulnerable to certain additional risks and uncertainties associated with our e-commerce and product catalog websites, our internal IT systems and IT integration with our partners, including: changes in required technology interfaces; system issues and limitations, website downtime and other technical failures; internet connectivity issues; costs and technical issues as we upgrade our website software; computer viruses; changes in applicable federal and state regulations; security breaches; and consumer privacy concerns. 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succeed in increasing sales or attracting customers. Our failure to successfully respond to these risks and uncertainties might adversely affect our sales, as well as damage our reputation and brands.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exposed to risks and costs associated with credit card fraud and identity theft that could cause us to incur unexpected expenses and loss of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increasing portion of our customer orders are placed through our e-commerce websites and a significant portion of our orders are submitted via networked applications. In addition, a significant portion of sales made through our retail channel require the collection of certain customer data, such as credit card information. In order for our sales channels to function and develop successfully, we and other parties involved in processing customer transactions must be able to transmit confidential information, including credit card information, securely over public networks. Third parties may have the technology or knowledge to breach the security of customer transaction data. Although we take the security of our systems and the privacy of our customers’ confidential information extremely seriously, we cannot guarantee that our security measures will effectively prevent others from obtaining unauthorized access to our information and our customers’ information. Any person who circumvents our security measures could destroy or steal valuable information or disrupt our operations. Any security breach could cause consumers to lose confidence in the security of our websites and choose not to purchase from us. Any security breach could also expose us to risks of data loss, litigation and liability and could seriously disrupt our operations and harm our reputation, any of which could harm our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states and the federal government are increasingly enacting laws and regulations to protect consumers against identity theft. Compliance with these laws will likely increase the costs of doing business and, if we fail to implement appropriate safeguards or to detect and provide prompt notice of unauthorized access as required by some of these new laws, we could be subject to potential claims for damages and other remedies, which could harm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Pandemics and epidemics, natural disasters, terrorist activities, political unrest, and other outbreaks could disrupt our operations, which could materially and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pandemics, epidemics in China or elsewhere in the world, or fear of spread of contagious diseases, such as Ebola virus disease (EVD), coronavirus disease 2019 (COVID-19), Middle East respiratory syndrome (MERS), severe acute respiratory syndrome (SARS), H1N1 flu, H7N9 flu, and avian flu, as well as hurricanes, earthquakes, tsunamis, or other natural disasters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We cannot assure you that we are adequately protected from the effects of fire, floods, typhoons, earthquakes, power loss, telecommunications failures, break-ins, war, riots,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facilities, as well as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Earthquakes, inclement weather or other events out of our control may damage or limit production from our facilities and our ability to timely deliver products thereby adversely affecting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in Colorado, Illinois, Pennsylvania, and in other areas where weather or other events such as an earthquake, tsunami, hurricane, flood, fire, high winds, extreme heat or cold, or other natural or manmade events, could disrupt our operations and impair production or distribution of our products, damage inventory, interrupt critical functions, or otherwise affect our business negatively, adversely affecting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Declines in general economic conditions and the resulting impact on consumer confidence and consumer spending could adversely impact our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performance is subject to declines in general economic conditions and the impact of such economic conditions on levels of consumer confidence and consumer spending. Consumer confidence and consumer spending may deteriorate significantly and could remain depressed for an extended period of time, whether due to pandemic, inflation, bank failure, or other unrelated reasons. Consumer purchases of discretionary items, including specifically our merchandise, generally decline during periods when disposable income is limited, unemployment rates increase, and consumer perceptions of personal well-being and security declines or there is economic uncertainty. An uncertain economic environment could adversely impact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and may be subject to regulatory compliance and legal uncertainties.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government regulation and supervision or proposed Department of Agriculture or other regulatory agency reforms or rule changes could impair our sources of revenue and limit our ability to expand our business. In the event any future laws or regulations are enacted which apply to us, we may have to expend funds and/or alter our operations to ensure compliance. New legislation or regulation, or the application of existing laws and regulations to the areas related to our business could add additional costs and risks to doing business. In addition, we are subject to regulations applicable to businesses generally and laws and regulations directly applicable to communications over the Internet and access to e-commerce. In addition, it is possible that a number of laws and regulations may be adopted with respect to the Internet and other areas of our business, covering issues such as user privacy, pricing, content, copyrights, distribution, antitrust, taxation and characteristics and quality of products and services.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legal proceedings that could be time consuming, result in costly litigation, require significant amounts of management time and result in the diversion of significant operational resources.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in lawsuits, claims and proceedings incident to the ordinary course of our business. Litigation is inherently unpredictable. Any claims against us, whether meritorious or not, could be time consuming, result in costly arbitration or litigation, require significant amounts of management time and result in the diversion of significant operational resources. Even if we believe that we have meritorious defenses against these actions, and we resolve to vigorously defend against them, the cost of defending against all these types of claims against us or the ultimate resolution of such claims, whether by settlement or adverse court decision, may harm our business and operating results and may be in excess of any amounts previously reserved for legal expenses. In addition, the increasingly regulated business environment and the nature of our products may result in a greater number of enforcement actions and private litigation. This could subject us to increased exposure to stockholder lawsuits. Also, we (and our affiliates) may be subject to attempts to bring legal claims by creditors and other third parties related to the liabilities or potential liabilities, of our former subsidiaries, or of the liabilities related to any company whose assets we acquired or do business with.</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we cannot be certain if the reduced reporting requirements applicable to smaller reporting companies will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Act of 1933, as amended (the “Securities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reduced disclosure obligations regarding historical financial statements, executive compensation in our periodic reports, registration statements,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until the beginning of a year in which we had a public float of $250 million held by non-affiliates or revenues below $100 million and a public float below $700 million, in each case as determined as of the last business day of the second quarter of the Company’s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realize benefits of acquisitions or successfully integrate the businesses we acquire.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growth strategy includes growth through strategic acquisitions. If we are unable to integrate acquired businesses successfully or to realize anticipated economic, operational, and other benefits and synergies in a timely manner, our profitability could be adversely affected. Integration of an acquired business may be more difficult when we acquire a business in a market in which we have limited expertise or with a company culture different from ours. A significant expansion of our business and operations, in terms of geography or magnitude, could strain our administrative and operational resources. Additionally, we may be unable to retain qualified management and other key personnel employed by acquired companies and may fail to build a network of acquired companies in new markets. We could face significantly greater competition from broadline foodservice distributors in these markets than we face in our existing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evaluate opportunities to acquire other companies. To the extent our future growth includes acquisitions, we may not be able to obtain any necessary financing for such acquisitions, consummate such potential acquisitions effectively, effectively and efficiently integrate any acquired entities, or successfully expand into new markets.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businesses in the future, if any, we may decide to consolidate the operations of any acquired business with our existing operations or make other changes with respect to the acquired business, which could result in special charges or expenses. Our results of operations also may be adversely affected by expenses we incur in making acquisitions, by amortization of acquisition-related intangible assets with definite lives and by additional depreciation attributable to acquired assets. Moreover, in connection with contemplated or completed acquisitions or divestitures, we may incur related asset impairment charges that reduce our profitability.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trademarks, trade secrets, and other forms of intellectual property protections, however, these protections may not be adequate.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trademark, trade secret and other intellectual property laws in the United States. We have applied in the United States and in certain countries for registration of a limited number of trademarks, some of which have been registered or issued. We cannot guarantee that our applications will be approved by the applicable governmental authorities, or that third parties will not seek to oppose or otherwise challenge our registrations or applications. We also rely on unregistered proprietary rights, including common law trademark protection. However, third parties may use trademarks identical or confusingly similar to ours, or independently develop trade secrets or know-how similar or equivalent to ours. If our proprietary information is divulged to third parties, including our competitors, or our intellectual property rights are otherwise misappropriated or infringed, our competitive position could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may infringe the intellectual property rights of others, which may cause us to incur unexpected costs or potentially prevent us from selling our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our products do not and will not infringe intellectual property rights of others. We may be subject to legal proceedings and claims in the ordinary course of our business, including claims of alleged infringement of intellectual property rights of third parties by us or our customers in connection with their use of our products. Any such claims, whether or not meritorious, could result in costly litigation and divert the efforts of our management and personnel. Moreover, should we be found liable for infringement, we may be required to enter into licensing agreements (if available on acceptable terms or at all) or to pay damages and to cease making or selling certain products. Any of the foregoing could cause us to incur significant costs and prevent us from manufacturing or selling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governmental regulation, which could impact our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extensive federal and state regulations governing the delivery of fresh food products. Various laws and regulatory frameworks, including but not limited to the FDA’s Food Safety Modernization Act, Pennsylvania’s Solid Waste Management Act, Clean Streams Law, Air Pollution Control Act, Pennsylvania Food Code, FDA’s Fair Packaging and Labeling Act, Nutrition Labeling and Education Act, PA Food Safety Act, and Pennsylvania’s Weights and Measures Act, impose stringent operational, food safety, packaging, and labeling requirements on our company and third-party vendors.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specialty foodservice vendors are required to maintain a minimum of $3,000,000 in liability insurance coverage and comply with Hazard Analysis and Critical Control Point (HACCP) standards. Compliance with these regulations is critical to our operations, as noncompliance could result in significant penalties, legal liabilities, operational disruptions, and reputational harm.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maintain compliance with applicable laws and regulations, we cannot guarantee that we will continue to be in compliance in the future, particularly as regulations evolve or become more stringent. Regulatory changes or increased enforcement efforts could impose additional costs, limit our ability to operate efficiently, or require modifications to our business practices. Any failure to comply with existing or future regulatory requirements could adversely affect our net revenues, gross margins, and cash flows. Any regulatory actions or changes that increase our compliance costs or restrict our ability to source, distribute, or label products effectively may materially impact our financial condition and results of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availability of our bank loans could adversely impact our business and financial condition.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have multiple loans with MapleMark Bank. All of these contain cross-default provisions which means that all outstanding borrowings can be accelerated and can become immediately due and payable in the event of a default in any of such loans, which includes, among other things, failure to comply with certain financial covenants or breach of representations contained in the loan documents, defaults under other loans or obligations or involvement in bankruptcy proceedings (as such terms are defined in the loan documents). We are also subject to negative covenants which, during the life of the loans, prohibit and/or limit us from, among other things, incurring certain types of other debt, acquiring other companies, making certain expenditures or investments, and changing the character of our business. Any material change to the business and economic landscape negatively impacting our business, including among other things, an outbreak of infectious disease, a pandemic or a similar public health threat, such as the COVID-19 outbreak, or bank failures, inflation, recession, or other significant economic turmoil, could adversely impact our ability to comply with such covenants. Our failure to comply with such covenants or any other breach of the loan documents could cause a default and we may then be required to repay all of such borrowings with capital from other sources. Under these circumstances, other sources of capital may not be available or may be available only on unfavorable terms. In the event of a default, it is possible that our assets and certain of our subsidiaries’ assets may be attached or seized by the lenders. Any (i) failure by us to comply with the covenants or other provisions of the loan documents, (ii) difficulty in securing any required future financing, or (iii) any such seizure or attachment of assets could have a material adverse effect on our business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generate sufficient cash to service our indebtedness depends on many factors, some of which are not within our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our indebtedness will depend on our ability to generate cash in the future. To a certain extent, this ability is subject to general economic, financial, competitive, legislative, regulatory, and other factors that are beyond our control. If we are unable to generate sufficient cash flow to service our debt, we may need to restructure or refinance all or a portion of our debt, sell material assets or operations, or raise additional debt or equity capital. We may not be able to affect any of these actions on a timely basis, on commercially reasonable terms, or at all, and these actions may not be sufficient to meet our debt service requirements. In addition, any refinancing of our indebtedness could be at a higher interest rate, and the terms of our existing or future debt arrangements may restrict us from effecting any of these alternatives. Our failure to make the required interest and principal payments on our indebtedness would result in an event of default under the agreement governing such indebtedness, which may result in the acceleration of some or all of our outstanding indebtedness.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Despite our level of indebtedness, we and our subsidiaries will still be able to incur significant additional amounts of debt, which could further exacerbate the risks associated with our level of indebtedness.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subsidiaries may incur substantial additional indebtedness in the future. Although the agreements governing our indebtedness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agreements governing our outstanding indebtedness contain restrictions that limit our flexibility in operating our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our outstanding indebtedness contain various covenants that limit our ability to engage in specified types of transactions. These covenants limit the ability of our subsidiaries to, among other things: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make payments, or redeem or repurchase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liquidations, dissolutions, asset sales, and other dispositions (including sale leaseback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terms of certain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limiting subsidiary distributions or containing negative pledge clauses;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fiscal year;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activities other than permitted activities.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are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one or more of these agreements, including as a result of cross default provisions, and acceleration of amounts due, and exercise of lender’s rights and remedies, including rights with respect to the collateral securing the obligations.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utilize derivative financial instruments to reduce our exposure to market risks from changes in interest rates on our variable rate indebtedness, and we are exposed to risks related to counterparty credit worthiness or non-performance of these instruments.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pay-fixed interest rate swaps to limit our exposure to changes in variable interest rates. Such instruments may result in economic losses should interest rates decline to a point lower than our fixed rate commitments. We are also exposed to credit-related losses, which could affect the results of operations in the event of fluctuations in the fair value of the interest rate swaps due to a change in the credit worthiness or non-performance by the counterparties to the interest rate swaps.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Relating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Since we do not intend to pay any cash dividends on our shares of common stock, our stockholders will not be able to receive a return on their shares unless they sell them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retain any future earnings to finance the development and expansion of our business. We do not anticipate paying any cash dividends on our common stock in the foreseeable future. Unless we pay dividends, our stockholders will not be able to receive a return on their shares unless they sell them at a price higher than that which they initially paid for such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common stock is subject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rules of the Securities and Exchange Commission (the “SEC”) and the trading market in our securities is limited, which makes transactions in our stock cumbersome and may reduce the value of an investment in our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has adopted Rule 15g-9 which establishes the definition of a “penny stock,” for the purposes relevant to us, as any equity security that has a market price of less than $5.00 per share or with an exercise price, for warrants or options or conversion price for convertible notes, of less than $5.00 per share, subject to certain exceptions. For any transaction involving a penny stock, unless exempt, the rules require: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broker or dealer approve a person’s account for transactions in penny stocks;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 or dealer receives from the investor a written agreement to the transaction, setting forth the identity and quantity of the penny stock to be purchased.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approve a person’s account for transactions in penny stocks, the broker or dealer must: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financial information and investment experience objectives of the person;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prescribed by the SEC relating to the penny stock market, which, in highlight form:</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the basis on which the broker or dealer made the suitability determination,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will likely continue to be volatile, and you could lose all or part of your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various factors, some of which are beyond our control and may not be related to our operating performance. In addition to the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elsewhere in this Annual Report on Form 10-K, factors that could cause fluctuations in the market price of our common stock include the following: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and related measures to protect the public health;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disposition of our subsidiaries or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 securities;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make investments in equity that is, or may become, publicly held, and we may experience volatility due to changes in the market prices of such equity investments;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by securities or industry analysts, media or other third parties, that are interpreted either negatively or positively by investors, failure of securities analysts to maintain coverage and/or to provide accurate consensus results of us, changes in financial estimates by securities analysts who follow us, or our failure to meet these estimates or the expectations of investors;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other projections we may provide to the public, any changes in those projections, or our failure to meet those projections;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security incidents that we or our service providers may suffer;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Such litigation could result in substantial costs and a diversion of our management’s attention and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risks include theft of business data, fraud or extortion, lack of access to our information systems, harm to employees, harm to business partners, violation of privacy laws, potential reputational damage, and litigation or other legal risk if a cybersecurity incident were to occur. It is difficult to assign a monetary materiality assessment to these risks or to the impact if we were to sustain a breach of our systems. Our approach is based on the premise that any cybersecurity incident could result in material harm to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Information Technology Associates (“ITA”), an outsourced IT provider which has been designated with oversight responsibility for our cybersecurity risks. ITA possesses a deep understanding of our information technology systems, including methods to manage and monitor cybersecurity risks. It also provides active monitoring and risk assessments of cybersecurity threats and communicates such threats to our Company. Low risk threats are communicated to our systems analysts, and high risk threats are first communicated to Bill Bennett (our CEO and director), Brady Smallwood (our COO and director), and Gary Schubert, our CFO, and are then discussed with our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annual assessments of risks posed by cybersecurity threats in conjunction with our insurance renewal cycles. This includes a thorough review of our systems and vulnerabilities. As a result of these assessments, we have implemented tools and practices to proactively monitor our systems and user accounts including, but not limited to, deploying solutions to constantly monitor users accessing systems, implementation of two factor authentication for logins, and improved rules for password maintenance. Additionally, we require our associates to complete cybersecurity awareness training provided by NINJIO.</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many companies, we make use of cloud-based solutions provided by several large service providers for critical information technology infrastructure such as email and file storage. We do not maintain stand-alone servers for our emails. However, we do maintain a standalone server for our main enterprise resource planning (ERP) program (Great Plains), and we maintain two servers dedicated to processing orders for Artisan Specialty Foods and Food Innovations, Inc. We also maintain a file server that currently houses approximately one terabyte of data. Each of our servers is protected by firewall and two-factor-authentication. Additionally, we take multiple snapshots of our servers several times throughout the day and store encrypted backups of our data both locally and in a cloud server to mitigate loss in the event of any malicious attacks on these resources. In the normal course of our relationships with the providers of our services not controlled in-house, we regularly monitor their message boards and other formal and informal communications channels for signs of breaches of their systems. We also survey available public information for indications that they have suffered a breach of their systems.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meet our current needs. We will need additional office space or facilities in the future as we continue to build our development, commercial and support teams. We believe we can find suitable additional space in the future on commercially reasonable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properties as of December 31, 2024: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 of the Term</w:t>
            </w:r>
          </w:p>
        </w:tc>
        <w:tc>
          <w:tcPr>
            <w:tcW w:w="28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1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Own/Lease</w:t>
            </w:r>
          </w:p>
        </w:tc>
        <w:tc>
          <w:tcPr>
            <w:tcW w:w="21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Square Feet</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Bonita Springs, FL</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31, 2025 (a)</w:t>
            </w: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Lease</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1,500</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Mountain Top, PA</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N/A</w:t>
            </w:r>
          </w:p>
        </w:tc>
        <w:tc>
          <w:tcPr>
            <w:tcW w:w="28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Office/Warehouse</w:t>
            </w:r>
          </w:p>
        </w:tc>
        <w:tc>
          <w:tcPr>
            <w:tcW w:w="21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Own</w:t>
            </w:r>
          </w:p>
        </w:tc>
        <w:tc>
          <w:tcPr>
            <w:tcW w:w="21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200,000</w:t>
            </w:r>
          </w:p>
        </w:tc>
      </w:tr>
      <w:tr>
        <w:trPr>
          <w:trHeight w:val="234"/>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(held for sale) (b)</w:t>
            </w:r>
          </w:p>
        </w:tc>
        <w:tc>
          <w:tcPr>
            <w:tcW w:w="19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Broadview, IL</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Office/Warehouse</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28,711</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Denver, CO</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August 31, 2027</w:t>
            </w: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Office/Warehouse</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Lease</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will not be renewed.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property is encumbered under the terms of the Maple Mark Term Loan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team, except as set forth below, there is no material litigation, arbitration or governmental proceeding currently pending against us or any members of our management team in their capacity as such.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entered into an agreement with High Impact Analytics, LLC (“High Impact”) whereby the latter would provide sales management and support services in exchange for a variable fee. The agreement contained a provision requiring 30 days’ written notice for “cancellation”, following which High Impact would be entitled to commissions for 120 days thereafter; the agreement also explicitly expired on September 11, 2024 (at which point, by its own terms, it was “no longer in force”), and was not renewed. High Impact demanded continuing variable fee payments on the grounds that the Company had not “cancelled” the agreement, and the Company responded that the agreement expressly terminated on September 11, 2024, such that no cancellation was required. On March 13, 2025, High Impact filed suit in Benton County, Arkansas, alleging that it is entitled to fees in the amount of $500,000, or alternatively treble damages under Ark. Code Ann. § 4-70-301. The Company denies any liability to High Impact and is examining its legal options in response to the foregoing complaint.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Prices for our common stock are quoted on the OTCQB. Since March 2004, our common stock has traded under the symbol “IVFH”. Prior thereto, our common stock traded under the symbol “FBSN”. At March 12, 2025, there were 53,986,793 shares of our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5, 2025, there were approximately 1,450 record holders of our common stock. In addition, we believe there are at least several hundred additional beneficial owners of our common stock whose shares are held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paid dividends during the three most recently completed fiscal years and have no current plans to pay dividends on our common stock. We currently intend to retain all earnings, if any, for use in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Recent Sales and Other Issuances of Our Equity Securities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our issuance of stock during the periods indicated.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1, 2024 to Mar. 31, 2024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 1, 2024 to Jun. 30, 2024 (1)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1, 2024 to Sep. 30, 2024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1,415,544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 1 2024 to Dec. 31, 2024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3,470,932</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conversion of options to purchase 50,000 shares of common stock by an ex-employee for a net amount of 24,138 shares issued.</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issued to executive officers pursuant to stock compensation plans based upon the market price of the Company’s common stock. Shares were issued to the Company’s CEO as follows: 731,350 shares when the market price was $1.16, and 487,567 shares when the market price was $1.45. Shares were issued to the Company’s COO as follows: 196,627 shares when the market price was $1.23.</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sold for cash. On November 30, 2024 and December 4, 2024, the Company entered into a series of securities purchase agreements with certain investors (the “Investors”), pursuant to which, among other things, the Company issued the Investors an aggregate of 2,031,250 shares of common stock of the Company at a purchase price of $1.60 per share, for an aggregate purchase price of $3,250,000.</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issuances described above were exempt from registration pursuant to Section 4(2) of the Securities Act for the following reasons: (1) none of the issuances involved a public offering or public advertising for the payment of any commissions or fees; (2) the issuances to investors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310,000 options to purchase shares of the Company’s common stock with a weighted average remaining contractual life of 1.42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following shares are issuable pursuant to outstanding stock options, warrants, and rights issued under the 2011 Stock Option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7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0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09"/>
        </w:trPr>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5"/>
              </w:rPr>
              <w:t>1.42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97,772,500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as amended (the “Exchange Act”), and Rule 3(a)(51-1) under the Exchange Act) during the three year period preceding the date(s) on which those forward looking statements were first made, except to the extent otherwise specifically provided by rule, regulation or order of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major customer,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bank failures, and environmental weather conditions.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Share Issuance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30, 2024, Innovative Gourmet, which is a wholly-owned subsidiary of the Company, and iGourmet, entered into an amended and restated asset purchase agreement (the “Amended and Restates APA”). Pursuant to the Amended and Restates APA, Innovative Gourmet sold to iGourmet substantially all of its assets related to marketing and selling certain artisan foods and related drop-ship fulfillment services including the website www. igourmet.com (the “Purchased Assets”), for total consideration of $700,000. This transaction was closed on October 23, 2024. In connection with the closing of the transaction, Innovative Gourmet and iGourmet entered into a Transition Services Agreement, dated August 30, 2024, pursuant to which Innovative Gourmet provided certain inventory and fulfilment services related to the Purchased Assets for a period of thirty days after closing pursuant to that certain Transition Services Agreement, dated August 30, 2024, with iGourmet.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the Golden APA with Golden Organics, and David Rickard. Pursuant to the Golden APA, the Company (i) purchased substantially all of the properties, business, and assets of Golden Organics used and/or useful in the operation of the Golden Organics’ business of wholesaling bulk organic ingredients and other related food products and (ii) assume certain liabilities and obligations of Golden Organics (such transaction, the “Golden Transaction”) for an aggregate purchase price of $1,580,000, which consists of (a) a cash payment of $1,230,000 after taking into account certain working capital adjustments at the closing of the Golden Transaction and (b) a Seller Financing Note of $350,000, payable to Golden Organics, with interest at six percent (6%) per annum for a term of sixty (60) months payable in equal monthly installments with the first payment due one month after the closing. The Seller Financing Note Need contains default, notice and acceleration provisions, including a default interest at twelve percent (12%), a five (5) day grace period, a five percent (5%) late fee, no prepayment penalty and a right of set-off. Under the Golden APA, David Rickard has agreed to provide assistance to the Company for a period of ninety (90) days following the closing with respect to the transitioning of the business and developing new business opportunities without any compensation. The Golden Transaction closed on November 18, 2024.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2024 and December 4, 2024, the Company entered into a series of securities purchase agreements with certain investors, pursuant to which, among other things, the Company issued the investors an aggregate of 2,031,250 shares of common stock of the Company at a purchase price of $1.60 per share, for an aggregate purchase price of $3,250,000.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 2024, the Company through its subsidiary, Golden Organics, acquired substantially all of LoCo’s properties, business, and assets used and/or useful in the operation of LoCo’s business of sourcing and wholesaling food products, and agreed to assume certain liabilities of LoCo for an aggregate purchase price of $304,269, which is payable to LoCo’s lenders for all outstanding and unpaid indebtedness of LoCo, pursuant to the LoCo APA, with LoCo, Elizabeth G. Mozer and Benjamin Mozer. In addition, as an adjustment to the purchase price, if earned, Golden Organics will pay $53,430 as earnout if, in the twelve-month period, LoCo achieves certain revenue and adjusted EBITDA targets. In connection with the LoCo APA, Ms. Mozer entered into a consulting services agreement with Golden Organics to provide consulting services for a period of twelve (12) months with the option to extend on a month-to-month basis with respect to the transitioning of the relationships and knowledge concerning the LoCo’s business, which agreement also contains a two-year non-solicitation provision.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Innovative Food Holdings, Inc. (IVFH) experienced a transformative year in 2024, marked by strategic initiatives aimed at stabilizing the business and laying the foundation for future growth. The Company focused on enhancing its digital presence, expanding its specialty foodservice platform, and diversifying its distribution channels. Key milestones included the acquisition of Golden Organics and LoCo, the sale of non-core assets, and the onboarding of a new CFO.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2024, IVFH reported revenue of $72.1 million, a 2.5% increase compared to $70.4 million in 2023. Our organic revenue growth, which excludes the impact of divestitures and acquisitions, was an impressive 11.4% for the full year. Revenue growth was particularly strong in Q4, with total revenue increasing 19.2% and organic revenue increasing 44.3%. These results reflect our strategic efforts to enhance our market presence and expand our customer base.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Breakdown:</w:t>
      </w:r>
    </w:p>
    <w:p>
      <w:pPr>
        <w:spacing w:after="0" w:line="221" w:lineRule="exact"/>
        <w:rPr>
          <w:sz w:val="20"/>
          <w:szCs w:val="20"/>
          <w:color w:val="auto"/>
        </w:rPr>
      </w:pPr>
    </w:p>
    <w:p>
      <w:pPr>
        <w:jc w:val="both"/>
        <w:ind w:left="660" w:hanging="328"/>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Channels: </w:t>
      </w:r>
      <w:r>
        <w:rPr>
          <w:rFonts w:ascii="Times New Roman" w:cs="Times New Roman" w:eastAsia="Times New Roman" w:hAnsi="Times New Roman"/>
          <w:sz w:val="18"/>
          <w:szCs w:val="18"/>
          <w:color w:val="auto"/>
        </w:rPr>
        <w:t>Largely made up of our Distributor Relationships and supported by our Drop Ship model. This category contributed $37.9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which is 52.5% of our total revenue. This represents a decrease of 3.9% from $39.4 million in 2023, primarily due to continued headwinds in our legacy drop ship business.</w:t>
      </w: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National Distribution: </w:t>
      </w:r>
      <w:r>
        <w:rPr>
          <w:rFonts w:ascii="Times New Roman" w:cs="Times New Roman" w:eastAsia="Times New Roman" w:hAnsi="Times New Roman"/>
          <w:sz w:val="18"/>
          <w:szCs w:val="18"/>
          <w:color w:val="auto"/>
        </w:rPr>
        <w:t>Captures our growing partnerships with airline caterers and our new national retail customer. This category generated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$18.0 million, or 24.9% of total revenue, marking a 67.4% increase from $10.7 million in 2023. These sales are generally delivered to the customer through 3PL carriers or FedEx.</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Local Distribution: </w:t>
      </w:r>
      <w:r>
        <w:rPr>
          <w:rFonts w:ascii="Times New Roman" w:cs="Times New Roman" w:eastAsia="Times New Roman" w:hAnsi="Times New Roman"/>
          <w:sz w:val="18"/>
          <w:szCs w:val="18"/>
          <w:color w:val="auto"/>
        </w:rPr>
        <w:t>Consists mainly of local sales team relationships and our local fleet delivering direct from warehouse. This category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$12.1 million, or 16.8% of total revenue, an increase of 21.8% from $9.9 million in 2023, supported by the expansion of local distribution channels and the acquisition of LoCo Foods.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Direct-to-Consumer: </w:t>
      </w:r>
      <w:r>
        <w:rPr>
          <w:rFonts w:ascii="Times New Roman" w:cs="Times New Roman" w:eastAsia="Times New Roman" w:hAnsi="Times New Roman"/>
          <w:sz w:val="18"/>
          <w:szCs w:val="18"/>
          <w:color w:val="auto"/>
        </w:rPr>
        <w:t>Divested, however, will remain through 2025 as we overlap the historical revenues generated from the iGourmet.com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For 2024, Direct-to-Consumer revenue was $3.1 million, or 4.3% of total revenue, a decrease of 66.2% from $9.2 million in 2023.</w:t>
      </w:r>
    </w:p>
    <w:p>
      <w:pPr>
        <w:ind w:left="66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Services: </w:t>
      </w:r>
      <w:r>
        <w:rPr>
          <w:rFonts w:ascii="Times New Roman" w:cs="Times New Roman" w:eastAsia="Times New Roman" w:hAnsi="Times New Roman"/>
          <w:sz w:val="18"/>
          <w:szCs w:val="18"/>
          <w:color w:val="auto"/>
        </w:rPr>
        <w:t>Consists of numerous activities, mainly monetizing the excess space in Pennsylvania. This category contributed $1.1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of total revenue, a decrease of 4.6% from $1.2 million in 2023.</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for the year was $55.3 million, an increase of 3.6% compared to $53.3 million in 2023. Gross margin declined by 85 basis points to 23.4%, primarily due to liquidation of inventory from divested businesses and the ramp-up of the lower-margin retail business. However, this decline was offset by a reduction in operating expenses and positive non-operating income driven by strategic divestments and cost reductions.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Operating Expenses (Cash OpEx):</w:t>
      </w:r>
    </w:p>
    <w:p>
      <w:pPr>
        <w:spacing w:after="0" w:line="229"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Decreased by $272 thousand to $10.3 million, mainly dut to a lower incentive playout to our leadership and executive teams compared to 2023.</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and IT Costs: Reduced by $122 thousand to $391 thousand, reflecting the Company’s efforts to streamline IT operations and reduce software and hardware expenses.</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Facilities, and Vehicles Costs: Decreased by $227 thousand to $963 thousand, driven by the consolidation of office spaces and more efficient use of facilities and vehicles.</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Digital Marketing Costs: Significant reduction of $555 thousand to $30 thousand, resulting from the restructuring of marketing programs and a strategic shift away from direct-to-consumer advertising.</w:t>
      </w: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Legal Fees: Increased by $310 thousand to $1.6 million, due to various legal and transactional activities related to acquisitions, divestitures, and other corporate 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Cash OpEx Reduction</w:t>
      </w:r>
      <w:r>
        <w:rPr>
          <w:rFonts w:ascii="Times New Roman" w:cs="Times New Roman" w:eastAsia="Times New Roman" w:hAnsi="Times New Roman"/>
          <w:sz w:val="18"/>
          <w:szCs w:val="18"/>
          <w:color w:val="auto"/>
        </w:rPr>
        <w:t>: The total Cash OpEx decreased by $904 thousand, reflecting the Company’s cost-cutting efforts and restructuring initiatives.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Operating Expenses (Non-Cash OpEx):</w:t>
      </w:r>
    </w:p>
    <w:p>
      <w:pPr>
        <w:spacing w:after="0" w:line="229" w:lineRule="exact"/>
        <w:rPr>
          <w:sz w:val="20"/>
          <w:szCs w:val="20"/>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Increased by $869 thousand to $1.5 million, due to revaluation of stock options and other equity-based incentives to attract and retain key personnel.</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Costs: Decreased by $279 thousand to $278 thousand, reflecting the Company’s efforts to optimize its asset base driven by the sale or our Florida headquarters building.</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 Decreased by $69 thousand to $5 thousand, as a result of improved credit management and collection efforts.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Intangible Assets: No impairment costs in 2024, compared to $1.1 million in 2023, due to the absence of significant write-downs of intangible assets.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Non-Cash OpEx Reduction: The total Non-Cash OpEx decreased by $557 thousand, primarily due to the absence of impairment costs and reduced depreciation and amortization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Expenses:</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separation costs in 2024, compared to $2.1 million in 2023 related to the departure of several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IVFH recorded several gains and losses:</w:t>
      </w:r>
    </w:p>
    <w:p>
      <w:pPr>
        <w:spacing w:after="0" w:line="225" w:lineRule="exact"/>
        <w:rPr>
          <w:sz w:val="20"/>
          <w:szCs w:val="20"/>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Assets: $2.8 million, including $1.8 million from the sale of the headquarters building and $1.0 million from the sale of certain intangible assets.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Subsidiaries: $21 thousand from the sale of Haley Group,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$6 thousand from leasing space in the Mountaintop warehouse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non-operating income was $1.8 million, contributing positively to the Company’s overall financial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improved significantly, reaching $2.5 million compared to a net loss of $3.7 million in 2023.</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IVFH had current assets of $23.9 million, including cash and cash equivalents of $2.3 million, and current liabilities of $9.4 million. The company had net working capital of $14.5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line="26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color w:val="auto"/>
        </w:rPr>
        <w:t>: Used $6.3 million, primarily due to changes in working capital components. The significant changes in working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w:t>
      </w:r>
    </w:p>
    <w:p>
      <w:pPr>
        <w:ind w:left="980" w:hanging="324"/>
        <w:spacing w:after="0" w:line="25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by $3.8 million, reflecting higher sales from our new customers, indicating strong demand and expanding market reach.</w:t>
      </w:r>
    </w:p>
    <w:p>
      <w:pPr>
        <w:ind w:left="980" w:hanging="324"/>
        <w:spacing w:after="0" w:line="25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Increased by $1.9 million, primarily due to the acquisition of Golden Organics and LoCo, as well as higher inventory levels to support new retail and distribution channels.</w:t>
      </w:r>
    </w:p>
    <w:p>
      <w:pPr>
        <w:ind w:left="980" w:hanging="324"/>
        <w:spacing w:after="0" w:line="25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Accrued Liabilities: Decreased by $850 thousand, mainly due to the lower annual incentive plan payout recorded in 2024 but paid in 2025, and the elimination of accrued liabilities related to the divestiture of eCommerce operations.</w:t>
      </w:r>
    </w:p>
    <w:p>
      <w:pPr>
        <w:ind w:left="980" w:hanging="324"/>
        <w:spacing w:after="0" w:line="26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Decreased by $791 thousand, primarily a result of the sale of our eCommerce business, we no longer sell or service gift cards or subscription services.</w:t>
      </w:r>
    </w:p>
    <w:p>
      <w:pPr>
        <w:spacing w:after="0" w:line="177" w:lineRule="exact"/>
        <w:rPr>
          <w:rFonts w:ascii="Times New Roman" w:cs="Times New Roman" w:eastAsia="Times New Roman" w:hAnsi="Times New Roman"/>
          <w:sz w:val="18"/>
          <w:szCs w:val="18"/>
          <w:color w:val="auto"/>
        </w:rPr>
      </w:pPr>
    </w:p>
    <w:p>
      <w:pPr>
        <w:ind w:left="660" w:hanging="328"/>
        <w:spacing w:after="0" w:line="26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Investing Activities</w:t>
      </w:r>
      <w:r>
        <w:rPr>
          <w:rFonts w:ascii="Times New Roman" w:cs="Times New Roman" w:eastAsia="Times New Roman" w:hAnsi="Times New Roman"/>
          <w:sz w:val="18"/>
          <w:szCs w:val="18"/>
          <w:color w:val="auto"/>
        </w:rPr>
        <w:t>: Provided $1.2 million, mainly driven by the sales proceeds of assets, offset by the acquisition of Golden Organics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and equipment. Key investments and proceeds included:</w:t>
      </w: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 of Assets: $2.1 million from the sale of the headquarters building.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 of Intangible Assets: $617 thousand from the sale of certain intangible assets associated with iGourmet.com.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Golden Organics: $1.2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Property and Equipment: $317 thousand.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Financing Activities</w:t>
      </w:r>
      <w:r>
        <w:rPr>
          <w:rFonts w:ascii="Times New Roman" w:cs="Times New Roman" w:eastAsia="Times New Roman" w:hAnsi="Times New Roman"/>
          <w:sz w:val="18"/>
          <w:szCs w:val="18"/>
          <w:color w:val="auto"/>
        </w:rPr>
        <w:t>: Provided $2.0 million, primarily from the sale of common stock. Key financing activities included:</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 of Common Stock: $3.3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taxes related to net share settlement of equity awards: $908 thousand.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Financing Leases: $228 thousand.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Notes Payable: $96 thousand.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IVFH anticipates significant capital expenditures in the coming years to support its growth initiatives and operational improvements. Key areas of investment include:</w:t>
      </w:r>
    </w:p>
    <w:p>
      <w:pPr>
        <w:spacing w:after="0" w:line="158" w:lineRule="exact"/>
        <w:rPr>
          <w:sz w:val="20"/>
          <w:szCs w:val="20"/>
          <w:color w:val="auto"/>
        </w:rPr>
      </w:pPr>
    </w:p>
    <w:p>
      <w:pPr>
        <w:ind w:left="660" w:hanging="328"/>
        <w:spacing w:after="0" w:line="263"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Expansion of Distribution Facilities</w:t>
      </w:r>
      <w:r>
        <w:rPr>
          <w:rFonts w:ascii="Times New Roman" w:cs="Times New Roman" w:eastAsia="Times New Roman" w:hAnsi="Times New Roman"/>
          <w:sz w:val="18"/>
          <w:szCs w:val="18"/>
          <w:color w:val="auto"/>
        </w:rPr>
        <w:t>: Upgrading and expanding warehouse and distribution facilities to accommodate increased demand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operational efficiency.</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Technology Investments</w:t>
      </w:r>
      <w:r>
        <w:rPr>
          <w:rFonts w:ascii="Times New Roman" w:cs="Times New Roman" w:eastAsia="Times New Roman" w:hAnsi="Times New Roman"/>
          <w:sz w:val="18"/>
          <w:szCs w:val="18"/>
          <w:color w:val="auto"/>
        </w:rPr>
        <w:t>: Enhancing the company’s digital platforms and IT infrastructure to support e-commerce growth and improve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Development</w:t>
      </w:r>
      <w:r>
        <w:rPr>
          <w:rFonts w:ascii="Times New Roman" w:cs="Times New Roman" w:eastAsia="Times New Roman" w:hAnsi="Times New Roman"/>
          <w:sz w:val="18"/>
          <w:szCs w:val="18"/>
          <w:color w:val="auto"/>
        </w:rPr>
        <w:t>: Investing in new product lines and innovations to meet changing customer preferences and expand market share.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plans to finance these capital needs through a combination of internal cash flows, debt financing, and potential equity offerings. IVFH is committed to maintaining a strong balance sheet and ensuring sufficient liquidity to support its strategic initiatives.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Management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IVFH employs several cash management strategies to ensure adequate liquidity and optimize financial performance:</w:t>
      </w:r>
    </w:p>
    <w:p>
      <w:pPr>
        <w:spacing w:after="0" w:line="22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Flow Forecasting</w:t>
      </w:r>
      <w:r>
        <w:rPr>
          <w:rFonts w:ascii="Times New Roman" w:cs="Times New Roman" w:eastAsia="Times New Roman" w:hAnsi="Times New Roman"/>
          <w:sz w:val="18"/>
          <w:szCs w:val="18"/>
          <w:color w:val="auto"/>
        </w:rPr>
        <w:t>: Regularly updating cash flow projections to anticipate and manage cash needs effectively.</w:t>
      </w:r>
    </w:p>
    <w:p>
      <w:pPr>
        <w:spacing w:after="0" w:line="3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Working Capital Management</w:t>
      </w:r>
      <w:r>
        <w:rPr>
          <w:rFonts w:ascii="Times New Roman" w:cs="Times New Roman" w:eastAsia="Times New Roman" w:hAnsi="Times New Roman"/>
          <w:sz w:val="18"/>
          <w:szCs w:val="18"/>
          <w:color w:val="auto"/>
        </w:rPr>
        <w:t>: Implementing strategies to optimize inventory levels, manage accounts receivable, and extend payment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suppliers.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Maintaining access to credit lines and other financing options to provide flexibility in managing short-term cash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of Excess Cash</w:t>
      </w:r>
      <w:r>
        <w:rPr>
          <w:rFonts w:ascii="Times New Roman" w:cs="Times New Roman" w:eastAsia="Times New Roman" w:hAnsi="Times New Roman"/>
          <w:sz w:val="18"/>
          <w:szCs w:val="18"/>
          <w:color w:val="auto"/>
        </w:rPr>
        <w:t>: Investing surplus cash in short-term, low-risk instruments to generate returns while preserving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5" w:lineRule="exact"/>
        <w:rPr>
          <w:sz w:val="20"/>
          <w:szCs w:val="20"/>
          <w:color w:val="auto"/>
        </w:rPr>
      </w:pPr>
    </w:p>
    <w:p>
      <w:pPr>
        <w:jc w:val="both"/>
        <w:ind w:left="660" w:right="20" w:hanging="328"/>
        <w:spacing w:after="0" w:line="259"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Opportunities</w:t>
      </w:r>
      <w:r>
        <w:rPr>
          <w:rFonts w:ascii="Times New Roman" w:cs="Times New Roman" w:eastAsia="Times New Roman" w:hAnsi="Times New Roman"/>
          <w:sz w:val="18"/>
          <w:szCs w:val="18"/>
          <w:color w:val="auto"/>
        </w:rPr>
        <w:t>: IVFH aims to continue its growth trajectory by focusing on stabilizing the business, growing the direct-to-chef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foodservice platform, diversifying the drop ship business, and expanding the specialty food distribution business. The company is well-positioned to capitalize on growth opportunities in the specialty foodservice market.</w:t>
      </w: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Initiatives</w:t>
      </w:r>
      <w:r>
        <w:rPr>
          <w:rFonts w:ascii="Times New Roman" w:cs="Times New Roman" w:eastAsia="Times New Roman" w:hAnsi="Times New Roman"/>
          <w:sz w:val="18"/>
          <w:szCs w:val="18"/>
          <w:color w:val="auto"/>
        </w:rPr>
        <w:t>: The Company plans to invest in digital transformation, enhance its e-commerce capabilities, and expand its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These initiatives are expected to drive revenue growth and improve profitability.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IVFH faces several risks that could impact its financial performance. These include:</w:t>
      </w:r>
    </w:p>
    <w:p>
      <w:pPr>
        <w:spacing w:after="0" w:line="221" w:lineRule="exact"/>
        <w:rPr>
          <w:sz w:val="20"/>
          <w:szCs w:val="20"/>
          <w:color w:val="auto"/>
        </w:rPr>
      </w:pPr>
    </w:p>
    <w:p>
      <w:pPr>
        <w:ind w:left="660" w:hanging="328"/>
        <w:spacing w:after="0" w:line="263"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Dependence on Major Customers</w:t>
      </w:r>
      <w:r>
        <w:rPr>
          <w:rFonts w:ascii="Times New Roman" w:cs="Times New Roman" w:eastAsia="Times New Roman" w:hAnsi="Times New Roman"/>
          <w:sz w:val="18"/>
          <w:szCs w:val="18"/>
          <w:color w:val="auto"/>
        </w:rPr>
        <w:t>: The Company has historically derived a substantial portion of its revenue from one client, U.S. Foods,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if this relationship were to change materially, it could significantly impact IVFH’s operations.</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Economic Conditions</w:t>
      </w:r>
      <w:r>
        <w:rPr>
          <w:rFonts w:ascii="Times New Roman" w:cs="Times New Roman" w:eastAsia="Times New Roman" w:hAnsi="Times New Roman"/>
          <w:sz w:val="18"/>
          <w:szCs w:val="18"/>
          <w:color w:val="auto"/>
        </w:rPr>
        <w:t>: Changes in economic conditions, including both COVID-19 related and non-related conditions, can affect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 and spending, which in turn can impact IVFH’s sales.</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specialty food and foodservice industries are highly competitive, and IVFH competes against other providers of quality foods,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of which have significantly greater resources.</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Supply Chain Disruptions</w:t>
      </w:r>
      <w:r>
        <w:rPr>
          <w:rFonts w:ascii="Times New Roman" w:cs="Times New Roman" w:eastAsia="Times New Roman" w:hAnsi="Times New Roman"/>
          <w:sz w:val="18"/>
          <w:szCs w:val="18"/>
          <w:color w:val="auto"/>
        </w:rPr>
        <w:t>: IVFH relies on outside vendors and shippers for its specialty food products, and any interruption in the supply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products or failure to adhere to quality standards could negatively impact the company’s revenues.</w:t>
      </w:r>
    </w:p>
    <w:p>
      <w:pPr>
        <w:ind w:left="660" w:right="20" w:hanging="328"/>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Compliance</w:t>
      </w:r>
      <w:r>
        <w:rPr>
          <w:rFonts w:ascii="Times New Roman" w:cs="Times New Roman" w:eastAsia="Times New Roman" w:hAnsi="Times New Roman"/>
          <w:sz w:val="18"/>
          <w:szCs w:val="18"/>
          <w:color w:val="auto"/>
        </w:rPr>
        <w:t>: Changes in government regulation and supervision could impair IVFH’s sources of revenue and limit its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 its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IVFH has no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Consolidated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 for credit losses,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stock appreciation rights (“SARS”):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SARS, and valuation assumptions at December 31, 2024 and 2023:</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252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4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 model variables: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24.43-131.55%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53.3-95.5%</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2.63-4.64%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3.67-5.03%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.00-2.75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3.00-3.63</w:t>
            </w:r>
          </w:p>
        </w:tc>
        <w:tc>
          <w:tcPr>
            <w:tcW w:w="1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an allowance in the amount of $40,002 and $46,477 for credit losses at December 31, 2024 and 2023, respectively.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(“U.S. GAAP”).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 At December 31, 2024, the Company has a net operating loss carryforward of approximately $3,875,000.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 The Company used our incremental borrowing rate of 6.75% in calculating the value of the ROU assets and liabilities.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156845</wp:posOffset>
            </wp:positionV>
            <wp:extent cx="4277360"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773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Food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Innovative Food Holdings, Inc. and Subsidiaries (the Company) as of December 31, 2024 and 2023 and the related consolidated statements of operations, stockholders’ equity and cash flows for the each of the two years in the period ended December 31, 2024 and the related consolidated notes (collectively referred to as the financial statements). In our opinion, the financial statements present fairly, in all material respects, the financial position of the Company as of December 31, 2024 and 2023, and the results of its operations and its cash flows for the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identify any critical audit matters that need to be communicated.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11630" cy="47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163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Coral Springs,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ASSURANCE DIMENSIONS,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also d/b/a McNAMARA and ASSOCIATES,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BAY</w:t>
      </w:r>
      <w:r>
        <w:rPr>
          <w:rFonts w:ascii="Times New Roman" w:cs="Times New Roman" w:eastAsia="Times New Roman" w:hAnsi="Times New Roman"/>
          <w:sz w:val="18"/>
          <w:szCs w:val="18"/>
          <w:color w:val="auto"/>
        </w:rPr>
        <w:t>: 4920 W Cypress Street, Suite 102 | Tampa, FL 33607 | Office: 813.443.5048 | Fax: 813.443.5053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JACKSONVILLE</w:t>
      </w:r>
      <w:r>
        <w:rPr>
          <w:rFonts w:ascii="Times New Roman" w:cs="Times New Roman" w:eastAsia="Times New Roman" w:hAnsi="Times New Roman"/>
          <w:sz w:val="18"/>
          <w:szCs w:val="18"/>
          <w:color w:val="auto"/>
        </w:rPr>
        <w:t>: 7800 Belfort Parkway, Suite 290 | Jacksonville, FL 32256 | Office: 888.410.2323 | Fax: 813.443.5053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ORLANDO: </w:t>
      </w:r>
      <w:r>
        <w:rPr>
          <w:rFonts w:ascii="Times New Roman" w:cs="Times New Roman" w:eastAsia="Times New Roman" w:hAnsi="Times New Roman"/>
          <w:sz w:val="18"/>
          <w:szCs w:val="18"/>
          <w:color w:val="auto"/>
        </w:rPr>
        <w:t>1800 Pembrook Drive, Suite 300 | Orlando, FL 32810 | Office: 888.410.2323 | Fax: 813.443.5053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FLORIDA</w:t>
      </w:r>
      <w:r>
        <w:rPr>
          <w:rFonts w:ascii="Times New Roman" w:cs="Times New Roman" w:eastAsia="Times New Roman" w:hAnsi="Times New Roman"/>
          <w:sz w:val="18"/>
          <w:szCs w:val="18"/>
          <w:color w:val="auto"/>
        </w:rPr>
        <w:t>: 3111 N. University Drive, Suite 621 | Coral Springs, FL 33065 | Office: 754.800.3400 | Fax: 813.443.5053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www.assurancedimensions.com</w:t>
      </w:r>
    </w:p>
    <w:p>
      <w:pPr>
        <w:spacing w:after="0" w:line="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4"/>
          <w:szCs w:val="14"/>
          <w:color w:val="auto"/>
        </w:rPr>
        <w:t>“Assurance Dimensions” is the brand name under which Assurance Dimensions, LLC including its subsidiary McNamara and Associates, LLC (referred together as “AD LLC”) and AbitOs Advisors, LLC (“AbitOs Advisors”), provide professional services. AD LLC and AbitOs Advisors practice as an alternative practice structure in accordance with the AICPA Code of Professional Conduct and applicable laws, regulations, and professional standards. AD LLC is a licensed independent CPA firm that provides attest services to its clients, and AbitOs Advisors provide tax and business consulting services to their clients. AbitOs Advisors, and its subsidiary entities are not licensed CPA firms.</w:t>
      </w:r>
    </w:p>
    <w:p>
      <w:pPr>
        <w:sectPr>
          <w:pgSz w:w="11900" w:h="16838" w:orient="portrait"/>
          <w:cols w:equalWidth="0" w:num="1">
            <w:col w:w="11240"/>
          </w:cols>
          <w:pgMar w:left="320" w:top="229" w:right="339" w:bottom="812"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812"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Index</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420" w:type="dxa"/>
            <w:vAlign w:val="bottom"/>
            <w:tcBorders>
              <w:top w:val="single" w:sz="8" w:color="0000EE"/>
            </w:tcBorders>
          </w:tcPr>
          <w:p>
            <w:pPr>
              <w:spacing w:after="0"/>
              <w:rPr>
                <w:sz w:val="24"/>
                <w:szCs w:val="24"/>
                <w:color w:val="auto"/>
              </w:rPr>
            </w:pPr>
          </w:p>
        </w:tc>
        <w:tc>
          <w:tcPr>
            <w:tcW w:w="826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82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2,330,880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5,235,102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9,039,232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4,298,435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6,290,488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2,962,191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238,526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5,941,933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49,315</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23,890,374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13,641,149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1,584,878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 of use assets, operating leases,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705,476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assets, finance leases,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524,273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424,372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Tradenames and other unamortizable intangible assets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27,346,373</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21,323,086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0" w:type="dxa"/>
            <w:vAlign w:val="bottom"/>
            <w:shd w:val="clear" w:color="auto" w:fill="CCEEFF"/>
          </w:tcPr>
          <w:p>
            <w:pPr>
              <w:spacing w:after="0"/>
              <w:rPr>
                <w:sz w:val="17"/>
                <w:szCs w:val="17"/>
                <w:color w:val="auto"/>
              </w:rPr>
            </w:pPr>
          </w:p>
        </w:tc>
        <w:tc>
          <w:tcPr>
            <w:tcW w:w="8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6,653,622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6,005,512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separation costs, related parties,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334,532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91,347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349,600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1,353,150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239,660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147,797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Contingent liability, 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54,430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551,851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9,414,190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8,640,993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8,692,674</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separation costs, related parties, non-current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457,692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467,569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139,591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219,266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19,171,716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18,517,672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&amp; Contingencies (see Note 21)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56,009,032 and 52,538,100 shares issued,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53,164,735 and 49,714,929 shares outstanding at December 31, 2024 and 2023,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to be issued; 738,032 and 0 shares at December 31, 2024 and 2023, respectively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45,520,121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42,762,811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2,644,297 and 2,623,171 shares outstanding at December 31, 2024 and 2023, respectively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(1,141,372)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(1,141,370)</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(36,209,764)</w:t>
            </w: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(38,821,278)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8,174,657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27,346,373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21,323,086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Index</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420" w:type="dxa"/>
            <w:vAlign w:val="bottom"/>
            <w:tcBorders>
              <w:top w:val="single" w:sz="8" w:color="0000EE"/>
            </w:tcBorders>
          </w:tcPr>
          <w:p>
            <w:pPr>
              <w:spacing w:after="0"/>
              <w:rPr>
                <w:sz w:val="24"/>
                <w:szCs w:val="24"/>
                <w:color w:val="auto"/>
              </w:rPr>
            </w:pPr>
          </w:p>
        </w:tc>
        <w:tc>
          <w:tcPr>
            <w:tcW w:w="826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82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2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20" w:type="dxa"/>
            <w:vAlign w:val="bottom"/>
            <w:tcBorders>
              <w:bottom w:val="single" w:sz="8" w:color="CCEEFF"/>
            </w:tcBorders>
          </w:tcPr>
          <w:p>
            <w:pPr>
              <w:spacing w:after="0"/>
              <w:rPr>
                <w:sz w:val="20"/>
                <w:szCs w:val="20"/>
                <w:color w:val="auto"/>
              </w:rPr>
            </w:pPr>
          </w:p>
        </w:tc>
        <w:tc>
          <w:tcPr>
            <w:tcW w:w="8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72,134,376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70,388,962</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55,280,668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53,347,220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16,853,708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17,041,742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16,314,986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16,720,523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costs - executive officers</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2,074,063</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1,055,400</w:t>
            </w:r>
          </w:p>
        </w:tc>
        <w:tc>
          <w:tcPr>
            <w:tcW w:w="0" w:type="dxa"/>
            <w:vAlign w:val="bottom"/>
          </w:tcPr>
          <w:p>
            <w:pPr>
              <w:spacing w:after="0"/>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16,314,986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19,849,986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(2,808,244)</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(876,452)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2,816,616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sale of subsidiary</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(45,022)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leasing income</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0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(3,697,833)</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15,834</w:t>
            </w:r>
          </w:p>
        </w:tc>
        <w:tc>
          <w:tcPr>
            <w:tcW w:w="0" w:type="dxa"/>
            <w:vAlign w:val="bottom"/>
          </w:tcPr>
          <w:p>
            <w:pPr>
              <w:spacing w:after="0"/>
              <w:rPr>
                <w:sz w:val="1"/>
                <w:szCs w:val="1"/>
                <w:color w:val="auto"/>
              </w:rPr>
            </w:pPr>
          </w:p>
        </w:tc>
      </w:tr>
      <w:tr>
        <w:trPr>
          <w:trHeight w:val="209"/>
        </w:trPr>
        <w:tc>
          <w:tcPr>
            <w:tcW w:w="42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2,532,583</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(3,713,667)</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78,931</w:t>
            </w: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(641,485)</w:t>
            </w:r>
          </w:p>
        </w:tc>
        <w:tc>
          <w:tcPr>
            <w:tcW w:w="0" w:type="dxa"/>
            <w:vAlign w:val="bottom"/>
          </w:tcPr>
          <w:p>
            <w:pPr>
              <w:spacing w:after="0"/>
              <w:rPr>
                <w:sz w:val="1"/>
                <w:szCs w:val="1"/>
                <w:color w:val="auto"/>
              </w:rPr>
            </w:pPr>
          </w:p>
        </w:tc>
      </w:tr>
      <w:tr>
        <w:trPr>
          <w:trHeight w:val="210"/>
        </w:trPr>
        <w:tc>
          <w:tcPr>
            <w:tcW w:w="42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2,611,514</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(4,355,152)</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from continuing operations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7"/>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from continuing operations -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7"/>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from discontinued operations -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50,563,992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49,076,880</w:t>
            </w:r>
          </w:p>
        </w:tc>
        <w:tc>
          <w:tcPr>
            <w:tcW w:w="0" w:type="dxa"/>
            <w:vAlign w:val="bottom"/>
          </w:tcPr>
          <w:p>
            <w:pPr>
              <w:spacing w:after="0"/>
              <w:rPr>
                <w:sz w:val="1"/>
                <w:szCs w:val="1"/>
                <w:color w:val="auto"/>
              </w:rPr>
            </w:pPr>
          </w:p>
        </w:tc>
      </w:tr>
      <w:tr>
        <w:trPr>
          <w:trHeight w:val="197"/>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51,315,879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49,076,880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60" w:type="dxa"/>
            <w:vAlign w:val="bottom"/>
            <w:vMerge w:val="restart"/>
          </w:tcPr>
          <w:p>
            <w:pPr>
              <w:jc w:val="center"/>
              <w:ind w:left="207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8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gridSpan w:val="2"/>
          </w:tcPr>
          <w:p>
            <w:pPr>
              <w:jc w:val="center"/>
              <w:ind w:left="2490"/>
              <w:spacing w:after="0"/>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54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6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13"/>
                <w:szCs w:val="13"/>
                <w:color w:val="auto"/>
              </w:rPr>
            </w:pPr>
          </w:p>
        </w:tc>
        <w:tc>
          <w:tcPr>
            <w:tcW w:w="9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540" w:type="dxa"/>
            <w:vAlign w:val="bottom"/>
            <w:gridSpan w:val="5"/>
            <w:vMerge w:val="continue"/>
          </w:tcPr>
          <w:p>
            <w:pPr>
              <w:spacing w:after="0"/>
              <w:rPr>
                <w:sz w:val="15"/>
                <w:szCs w:val="15"/>
                <w:color w:val="auto"/>
              </w:rPr>
            </w:pPr>
          </w:p>
        </w:tc>
        <w:tc>
          <w:tcPr>
            <w:tcW w:w="14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 be issued</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5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3"/>
                <w:szCs w:val="13"/>
                <w:color w:val="auto"/>
              </w:rPr>
            </w:pPr>
          </w:p>
        </w:tc>
        <w:tc>
          <w:tcPr>
            <w:tcW w:w="740" w:type="dxa"/>
            <w:vAlign w:val="bottom"/>
            <w:tcBorders>
              <w:top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tcBorders>
              <w:top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49,427,297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1,499,940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$ 42,189,471</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2,623,171</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(1,141,370)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 (34,466,126)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6,587,063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compensation</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222,380</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50,658</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50,680</w:t>
            </w:r>
          </w:p>
        </w:tc>
        <w:tc>
          <w:tcPr>
            <w:tcW w:w="0" w:type="dxa"/>
            <w:vAlign w:val="bottom"/>
          </w:tcPr>
          <w:p>
            <w:pPr>
              <w:spacing w:after="0"/>
              <w:rPr>
                <w:sz w:val="1"/>
                <w:szCs w:val="1"/>
                <w:color w:val="auto"/>
              </w:rPr>
            </w:pPr>
          </w:p>
        </w:tc>
      </w:tr>
      <w:tr>
        <w:trPr>
          <w:trHeight w:val="126"/>
        </w:trPr>
        <w:tc>
          <w:tcPr>
            <w:tcW w:w="4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to management and employees from common stock</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875,000</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(875,000)</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subscribed</w:t>
            </w: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shares under compensation plan</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242,654</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242,654</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severance agreement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167,960</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168,000</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employees for compensation</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267,030</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112,142</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112,169</w:t>
            </w: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management compensation plan</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678,302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common stock subscribed</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832,911</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(847,320)</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cashless conversion of stock options</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57,560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loss for the year ended December 31, 2023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(4,355,152)</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(4,355,152)</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52,538,100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$ 42,762,811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2,623,171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(1,141,370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(38,821,278</w:t>
            </w:r>
          </w:p>
        </w:tc>
        <w:tc>
          <w:tcPr>
            <w:tcW w:w="1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2,805,414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52,538,100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5,251</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42,762,811</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2,623,171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(1,141,370)</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(38,821,278)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2,805,414</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returned to treasury from sale of subsidiary</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(21,124)</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21,126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of shares under compensation plan</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437,339</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437,339</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earned under compensation plans</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2,029,513</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738,032</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withheld for taxes under compensation plans</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(613,969)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(908,497)</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(908,558)</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 for cashless exercise of options</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24,138</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sold for cash</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2,031,250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3,249,797</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3,250,000</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for the year ended December 31, 2024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2,611,514</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2,611,514</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56,009,032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738,032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$ 45,520,121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2,644,297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(1,141,372</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(36,209,764</w:t>
            </w:r>
          </w:p>
        </w:tc>
        <w:tc>
          <w:tcPr>
            <w:tcW w:w="1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8,174,657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Index</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420" w:type="dxa"/>
            <w:vAlign w:val="bottom"/>
            <w:tcBorders>
              <w:top w:val="single" w:sz="8" w:color="0000EE"/>
            </w:tcBorders>
          </w:tcPr>
          <w:p>
            <w:pPr>
              <w:spacing w:after="0"/>
              <w:rPr>
                <w:sz w:val="24"/>
                <w:szCs w:val="24"/>
                <w:color w:val="auto"/>
              </w:rPr>
            </w:pPr>
          </w:p>
        </w:tc>
        <w:tc>
          <w:tcPr>
            <w:tcW w:w="826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826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24"/>
                <w:szCs w:val="24"/>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4"/>
              </w:rPr>
              <w:t>Twelve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2,611,514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(4,355,152)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(2,816,616)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sale of subsidiaries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(21,126)</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45,022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 (of which $0 and $260,422 is included in discontinued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1,315,822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273,084</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557,268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slow moving and obsolete 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189,582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54,609</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51,756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prepaid loan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discount on notes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5,136</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437,339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405,503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Value of stock appreciation rights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1,098,130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255,020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Bad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73,330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(3,826,006)</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479,247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and other current assets,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(1,936,193)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(850,125)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(439,336)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separation costs - related parties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(462,713)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1,422,937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(790,769)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(243,149)</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(52,856)</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(51,756)</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(6,271,993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acquisition of Golden Organics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(1,231,379)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received in acquisition of LoCo Foods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42,000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(316,567)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received from sale of subsidiaries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received from disposition of asset, net of loan payoff</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2,101,185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11,071</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received from disposition of intangible assets, net of costs</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617,000</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sale of common stock, net of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3,250,000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notes payable, net of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3,285,588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taxes related to net share settlement of equity awards, net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(908,484)</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(95,546)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financing leases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(228,356)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(88,813)</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line of credit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(2,014,333)</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2,017,614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(3,042,140)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522,937</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5,422,335</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4,899,398</w:t>
            </w:r>
          </w:p>
        </w:tc>
        <w:tc>
          <w:tcPr>
            <w:tcW w:w="0" w:type="dxa"/>
            <w:vAlign w:val="bottom"/>
          </w:tcPr>
          <w:p>
            <w:pPr>
              <w:spacing w:after="0"/>
              <w:rPr>
                <w:sz w:val="1"/>
                <w:szCs w:val="1"/>
                <w:color w:val="auto"/>
              </w:rPr>
            </w:pPr>
          </w:p>
        </w:tc>
      </w:tr>
      <w:tr>
        <w:trPr>
          <w:trHeight w:val="209"/>
        </w:trPr>
        <w:tc>
          <w:tcPr>
            <w:tcW w:w="42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2,330,880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5,235,102</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discontinued operations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49,315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187,233</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2,380,195</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5,422,335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0" w:type="dxa"/>
            <w:vAlign w:val="bottom"/>
            <w:shd w:val="clear" w:color="auto" w:fill="CCEEFF"/>
          </w:tcPr>
          <w:p>
            <w:pPr>
              <w:spacing w:after="0"/>
              <w:rPr>
                <w:sz w:val="17"/>
                <w:szCs w:val="17"/>
                <w:color w:val="auto"/>
              </w:rPr>
            </w:pPr>
          </w:p>
        </w:tc>
        <w:tc>
          <w:tcPr>
            <w:tcW w:w="8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896,709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802,076</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15,834</w:t>
            </w:r>
          </w:p>
        </w:tc>
        <w:tc>
          <w:tcPr>
            <w:tcW w:w="0" w:type="dxa"/>
            <w:vAlign w:val="bottom"/>
          </w:tcPr>
          <w:p>
            <w:pPr>
              <w:spacing w:after="0"/>
              <w:rPr>
                <w:sz w:val="1"/>
                <w:szCs w:val="1"/>
                <w:color w:val="auto"/>
              </w:rPr>
            </w:pPr>
          </w:p>
        </w:tc>
      </w:tr>
      <w:tr>
        <w:trPr>
          <w:trHeight w:val="197"/>
        </w:trPr>
        <w:tc>
          <w:tcPr>
            <w:tcW w:w="42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 warehouse equipment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353,815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for severance agreement previously accrued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Par value of shares issued, previously accrued</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Reclassify fixed assets as held for sale</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5,941,933</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649,984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216"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stock for cashless exercise of options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Summary of assets and liabilities acquired in asset purchase agreements: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 Golden Organic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2,127,511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 acquired – Golden Organic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1,627,698</w:t>
            </w:r>
          </w:p>
        </w:tc>
        <w:tc>
          <w:tcPr>
            <w:tcW w:w="22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ROU assets and liabilities – Golden Organics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731,567</w:t>
            </w: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 acquired – LOCO Foods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484,972</w:t>
            </w:r>
          </w:p>
        </w:tc>
        <w:tc>
          <w:tcPr>
            <w:tcW w:w="22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Liabilities acquired – LOCO Foods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1,063,020</w:t>
            </w: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Summary of assets and liabilities disposed:</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disposed – sale of building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649,884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 settled – sale of building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356,215</w:t>
            </w:r>
          </w:p>
        </w:tc>
        <w:tc>
          <w:tcPr>
            <w:tcW w:w="220" w:type="dxa"/>
            <w:vAlign w:val="bottom"/>
            <w:vMerge w:val="continue"/>
          </w:tcPr>
          <w:p>
            <w:pPr>
              <w:spacing w:after="0"/>
              <w:rPr>
                <w:sz w:val="17"/>
                <w:szCs w:val="17"/>
                <w:color w:val="auto"/>
              </w:rPr>
            </w:pPr>
          </w:p>
        </w:tc>
        <w:tc>
          <w:tcPr>
            <w:tcW w:w="58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10-K. All intercompany transactions have been eliminated in consolidation. In the opinion of management, the audited consolidated financial statements reflect all adjustments, including normal recurring adjustments, necessary for fair presentation of the interim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difficult-to-find specialty foods primarily to both Professional Chefs and Home Gourmets through our relationships with producers, growers, makers and distributors of these products worldwide. The distribution of these products primarily originates from our three unified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made the decision to focus more on our Business to Business (B2B) activities and less on our Direct to Consumer (D2C) products. Our subsidiaries GROW and Oasis were sold effective December 29, 2023; Haley Food Group, Inc. (“Haley”) was sold effective February 26, 2024; the igourmet platform and its D2C components were sold effective August 6, 2024; we continue to operate the B2B component, which remains part of our continuing operations. On October 8, 2024, we sold substantially all of the assets of Mouth. The activities of P Innovations will be abandoned. See Note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guidance of Accounts Standards Codification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the accounts of our discontinued entities GROW, Oasis, Haley, P Innovations, and Mouth are included in “Net loss from discontinued operations” in our consolidated statements of operations. Additionally, the assets and liabilities of these entities have been presented as discontinued operations in our consolidated balance sheets. On December 29, 2023, the Company completed the sales of its Grow and Oasis subsidiaries, on February 26, 2024, the Company completed the sale of its Haley subsidiary (see Note 4), and on October 8, 2024, the Company completed the sale of substantially all of the assets of Mouth. In addition, the operations of P Innovations have been abandoned. The only remaining discontinued operations on the Company’s balance sheet at December 31, 2024 is cash in the amount of $49,315 held by Mouth. See Note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 for credit losses, allowance for slow moving and obsolete inventory, income taxes, intangible assets, contingent liabilities,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revenue from product sales (i.e., specialty foodservice and e-commerce), 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by from sales for the years ended December 31, 2024 and 2023: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37,861,972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39,403,270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17,984,274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10,742,556</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9,929,068</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9,160,288</w:t>
            </w:r>
          </w:p>
        </w:tc>
        <w:tc>
          <w:tcPr>
            <w:tcW w:w="80" w:type="dxa"/>
            <w:vAlign w:val="bottom"/>
          </w:tcPr>
          <w:p>
            <w:pPr>
              <w:spacing w:after="0"/>
              <w:rPr>
                <w:sz w:val="18"/>
                <w:szCs w:val="18"/>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1,100,236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1,153,780</w:t>
            </w:r>
          </w:p>
        </w:tc>
        <w:tc>
          <w:tcPr>
            <w:tcW w:w="80" w:type="dxa"/>
            <w:vAlign w:val="bottom"/>
            <w:shd w:val="clear" w:color="auto" w:fill="CCEEFF"/>
          </w:tcPr>
          <w:p>
            <w:pPr>
              <w:spacing w:after="0"/>
              <w:rPr>
                <w:sz w:val="19"/>
                <w:szCs w:val="19"/>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72,134,376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70,388,962</w:t>
            </w:r>
          </w:p>
        </w:tc>
        <w:tc>
          <w:tcPr>
            <w:tcW w:w="8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 We have also included all payroll costs as cost of goods sold in our leasing and logistics services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included in selling, general, and administrative expenses all other costs which support the Company’s operations, but which are not includable as a cost of sales. These include primarily payroll, facility costs such as rent and utilities, selling expenses such as commissions and advertising, amortization of intangible assets, depreciation, and other administrative costs including professional fees and costs associated with non-cash stock compensation. Advertising costs are expensed as incurred.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include all highly liquid debt instruments with original maturities of three months or less which are not securing any corporate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December 31, 2024 and 2023, trade receivables from the Company’s largest customer amounted to 10% and 26%, respectively, of total trade receivables. During the year ended December 31, 2024 and 2023, sales from the Company’s largest customer amounted to 43% and 48% of total sales,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December 31, 2024 and 2023, the total cash in excess of these limits was $1,016,918 and $988,825,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an allowance for doubtful accounts equal to the estimated uncollectible amounts pursuant to the guidance of Accounting Standards Update (ASU) 2016-13, Financial Instruments – Credit Losses (Topic 326) as codified in Accounts Standards Codification (ASC) 326, Financial Instruments – Credit Losses.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credit losses of $40,002 and $46,477 at December 31,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that the Company plans to sell within the next year. Long-lived assets that meet the held for sale criteria are held for sale and reported at the lower of their carrying value or fair value, less estimated costs to sell. If the determination is made that the Company no longer expects to sell an asset within the next year, the asset is reclassified out of assets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valued at cost. Depreciation is provided over the estimated useful lives up to five years using the straight-line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on a straight-line basis over the term of the lease.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service lives of property and equipment are as follows:</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Warehouse Equipment - Heavy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Furniture and Fixtures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 years</w:t>
      </w:r>
    </w:p>
    <w:p>
      <w:pPr>
        <w:spacing w:after="0" w:line="211" w:lineRule="exact"/>
        <w:rPr>
          <w:sz w:val="20"/>
          <w:szCs w:val="20"/>
          <w:color w:val="auto"/>
        </w:rPr>
      </w:pPr>
    </w:p>
    <w:p>
      <w:pPr>
        <w:sectPr>
          <w:pgSz w:w="11900" w:h="16838" w:orient="portrait"/>
          <w:cols w:equalWidth="0" w:num="2">
            <w:col w:w="3780" w:space="720"/>
            <w:col w:w="6740"/>
          </w:cols>
          <w:pgMar w:left="320" w:top="22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valued at the lower of cost or market and is determined by the first-in, first-out method. In addition to an allowance for obsolete or slow moving inventory, the Company adjusts inventory based upon bi-weekly cycle counts and upon the expiration date of food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the date of purchase. The Company records a liability for unredeemed gift cards and advance payments for monthly club memberships as cash is received, and the liability is reduced when the card is redeemed or the product delivered.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8, 2024, the Company sold substantially all of the assets of Mouth, and the buyer assumed the liability for deferred revenue in the amount of $174,637.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as reported on the Company’s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46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1,146,167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3,162,005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(3,293,325)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1,014,847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4460" w:type="dxa"/>
            <w:vAlign w:val="bottom"/>
            <w:gridSpan w:val="3"/>
          </w:tcPr>
          <w:p>
            <w:pPr>
              <w:spacing w:after="0"/>
              <w:rPr>
                <w:sz w:val="17"/>
                <w:szCs w:val="17"/>
                <w:color w:val="auto"/>
              </w:rPr>
            </w:pPr>
          </w:p>
        </w:tc>
        <w:tc>
          <w:tcPr>
            <w:tcW w:w="10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assumed by buyer</w:t>
            </w:r>
          </w:p>
        </w:tc>
        <w:tc>
          <w:tcPr>
            <w:tcW w:w="446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(174,637)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8,987,984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(9,478,594)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26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240" w:type="dxa"/>
            <w:vAlign w:val="bottom"/>
            <w:vMerge w:val="restart"/>
          </w:tcPr>
          <w:p>
            <w:pPr>
              <w:jc w:val="right"/>
              <w:ind w:right="307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in accordance with ASC 740. The Company recognizes deferred tax liabilities and assets for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The components of the deferred tax assets and liabilities are classified as current and non-current based on their characteristics. A valuation allowance is provided for certain deferred tax assets if it is more likely than not that the Company will not realize tax assets through future operations. This standard was adopted by the Company effective January 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notes payable, line of credit, accounts payable and accrued expenses, none of which is held for trading, approximates their estimated fair values due to the short-term maturities of those financial instruments.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adopted ASC 820-10, “Fair Value Measurements”, which provides a framework for measuring fair value under GAAP.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requires that valuation techniques maximize the use of observable inputs and minimize the use of unobservable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its property and equipment and any identifiable intangibles for impairment whenever events or changes in circumstances indicate that the carrying amount of an asset may not be recoverable. The recoverability of assets to be held and used is measured by a comparison of the carrying amount of an asset to the future undiscounted operating cash flow expected to be generated by the asset. If such assets are considered to be impaired, the impairment to be recognized is measured by the amount by which the carrying amount of the asset exceeds the fair value of the asset. Long-lived assets to be disposed of are reported at the lower of carrying amount or fair value less costs to sell. During the year ended December 31, 2023, the Company made the strategic decision to allocate fewer resources to our D2C products; pursuant to this decision, we made the determination that the carrying value of the tradenames held by our subsidiaries igourmet and Mouth could not be recovered. Accordingly, the Company recorded impairment charges in the amounts of $1,055,400 and $260,422 against the tradenames held by igourmet and Mouth, respectively, reducing the carrying value of these intangible assets to $0.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Income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 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2024:</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29"/>
        </w:trPr>
        <w:tc>
          <w:tcPr>
            <w:tcW w:w="600" w:type="dxa"/>
            <w:vAlign w:val="bottom"/>
          </w:tcPr>
          <w:p>
            <w:pPr>
              <w:spacing w:after="0"/>
              <w:rPr>
                <w:sz w:val="19"/>
                <w:szCs w:val="19"/>
                <w:color w:val="auto"/>
              </w:rPr>
            </w:pPr>
          </w:p>
        </w:tc>
        <w:tc>
          <w:tcPr>
            <w:tcW w:w="25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600" w:type="dxa"/>
            <w:vAlign w:val="bottom"/>
          </w:tcPr>
          <w:p>
            <w:pPr>
              <w:spacing w:after="0"/>
              <w:rPr>
                <w:sz w:val="20"/>
                <w:szCs w:val="20"/>
                <w:color w:val="auto"/>
              </w:rPr>
            </w:pPr>
          </w:p>
        </w:tc>
        <w:tc>
          <w:tcPr>
            <w:tcW w:w="25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 (years)</w:t>
            </w:r>
          </w:p>
        </w:tc>
      </w:tr>
      <w:tr>
        <w:trPr>
          <w:trHeight w:val="210"/>
        </w:trPr>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29"/>
        </w:trPr>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0"/>
        </w:trPr>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80" w:type="dxa"/>
            <w:vAlign w:val="bottom"/>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in place a share-based incentive plan for its executive team. See note 17.</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shares are granted under the Company’s incentive stock plans, the Company withholds the number of shares required to satisfy income tax withholding requirements on the award, calculated at the market value of the Company’s stock on the date the award is granted.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charged the amount of $404,804 to operations in connection with management stock-based compensation plans. See Note 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there were a total of 1,450,314 shares of common stock which have vested and are issuable pursuant to Executive Stock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2023:</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0"/>
        </w:trPr>
        <w:tc>
          <w:tcPr>
            <w:tcW w:w="600" w:type="dxa"/>
            <w:vAlign w:val="bottom"/>
          </w:tcPr>
          <w:p>
            <w:pPr>
              <w:spacing w:after="0"/>
              <w:rPr>
                <w:sz w:val="19"/>
                <w:szCs w:val="19"/>
                <w:color w:val="auto"/>
              </w:rPr>
            </w:pPr>
          </w:p>
        </w:tc>
        <w:tc>
          <w:tcPr>
            <w:tcW w:w="25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600" w:type="dxa"/>
            <w:vAlign w:val="bottom"/>
          </w:tcPr>
          <w:p>
            <w:pPr>
              <w:spacing w:after="0"/>
              <w:rPr>
                <w:sz w:val="20"/>
                <w:szCs w:val="20"/>
                <w:color w:val="auto"/>
              </w:rPr>
            </w:pPr>
          </w:p>
        </w:tc>
        <w:tc>
          <w:tcPr>
            <w:tcW w:w="25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 (years)</w:t>
            </w:r>
          </w:p>
        </w:tc>
      </w:tr>
      <w:tr>
        <w:trPr>
          <w:trHeight w:val="209"/>
        </w:trPr>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18"/>
                <w:szCs w:val="18"/>
                <w:color w:val="auto"/>
              </w:rPr>
            </w:pPr>
          </w:p>
        </w:tc>
      </w:tr>
      <w:tr>
        <w:trPr>
          <w:trHeight w:val="216"/>
        </w:trPr>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r>
      <w:tr>
        <w:trPr>
          <w:trHeight w:val="230"/>
        </w:trPr>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Borders>
              <w:bottom w:val="single" w:sz="8" w:color="CCEEFF"/>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19"/>
                <w:szCs w:val="19"/>
                <w:color w:val="auto"/>
              </w:rPr>
            </w:pPr>
          </w:p>
        </w:tc>
      </w:tr>
      <w:tr>
        <w:trPr>
          <w:trHeight w:val="209"/>
        </w:trPr>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shares are granted under the Company’s stock option, the Company withholds the number of shares required to satisfy income tax withholding requirements on the award, calculated at the market value of the Company’s stock on the date the options is exercised.</w:t>
      </w:r>
    </w:p>
    <w:p>
      <w:pPr>
        <w:sectPr>
          <w:pgSz w:w="11900" w:h="16838" w:orient="portrait"/>
          <w:cols w:equalWidth="0" w:num="1">
            <w:col w:w="11240"/>
          </w:cols>
          <w:pgMar w:left="320" w:top="229"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charged the amount of $293,334 to operations in connection with management stock-based compensation plans. The Company also charged the amount of $112,169 to operations in connection with 267,030 shares of common stock granted to three employees as compensation. See Note 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Financial Accounting Standards Board (“FASB”) ASC 842, “Leases”. The Company determines if an arrangement is a lease at inception. Operating lease right-of-use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amendments improve reportable segment disclosure requirements, primarily through enhanced disclosures about significant segment expenses. The ASU is effective for annual reporting periods beginning after December 15, 2023 and interim periods within fiscal years beginning after December 15, 2024 with early adoption permitted and can be applied on either a prospective or retroactive basis. The Company does not believe the adoption of this guidance will have a material effect on its Consolidated Financial Statements and segment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does not believe the adoption of this guidance will have a material effect on its Consolidated Financial Statements and segment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2023, in connection with an analysis of the Company’s sales mix and profitability by service offering, management made the strategic decision to focus on the Company’s B2B service offering and to allocate fewer resources to and in some cases to sell certain of the Company’s subsidiaries involved in its D2C service offerings. Pursuant to this strategy, on December 29, 2023, the Company completed the sales of its Grow and Oasis subsidiaries; on February 26, 2024, the Company completed the sale of its Haley subsidiary; and on October 8, 2024, the Company sold substantially all of the assets of Mouth (see Note 3). In addition, the operations of P Innovations have been abandoned.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14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49,315</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14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3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r>
      <w:tr>
        <w:trPr>
          <w:trHeight w:val="238"/>
        </w:trPr>
        <w:tc>
          <w:tcPr>
            <w:tcW w:w="386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292,625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3,072,707</w:t>
            </w:r>
          </w:p>
        </w:tc>
        <w:tc>
          <w:tcPr>
            <w:tcW w:w="80" w:type="dxa"/>
            <w:vAlign w:val="bottom"/>
            <w:shd w:val="clear" w:color="auto" w:fill="CCEEFF"/>
          </w:tcPr>
          <w:p>
            <w:pPr>
              <w:spacing w:after="0"/>
              <w:rPr>
                <w:sz w:val="18"/>
                <w:szCs w:val="18"/>
                <w:color w:val="auto"/>
              </w:rPr>
            </w:pPr>
          </w:p>
        </w:tc>
      </w:tr>
      <w:tr>
        <w:trPr>
          <w:trHeight w:val="230"/>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240,169</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1,403,094</w:t>
            </w:r>
          </w:p>
        </w:tc>
        <w:tc>
          <w:tcPr>
            <w:tcW w:w="80" w:type="dxa"/>
            <w:vAlign w:val="bottom"/>
            <w:tcBorders>
              <w:bottom w:val="single" w:sz="8" w:color="CCEEFF"/>
            </w:tcBorders>
          </w:tcPr>
          <w:p>
            <w:pPr>
              <w:spacing w:after="0"/>
              <w:rPr>
                <w:sz w:val="19"/>
                <w:szCs w:val="19"/>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1,669,613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Loss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-114935</wp:posOffset>
            </wp:positionV>
            <wp:extent cx="570039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(155,375)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259,287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(641,485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800" w:space="720"/>
            <w:col w:w="3720"/>
          </w:cols>
          <w:pgMar w:left="320" w:top="229"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significant operating and investing cash flow activities in the consolidated statements of cash flows relating to discontinued operations: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gridSpan w:val="3"/>
          </w:tcPr>
          <w:p>
            <w:pPr>
              <w:jc w:val="right"/>
              <w:ind w:right="1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00" w:type="dxa"/>
            <w:vAlign w:val="bottom"/>
          </w:tcPr>
          <w:p>
            <w:pPr>
              <w:spacing w:after="0"/>
              <w:rPr>
                <w:sz w:val="18"/>
                <w:szCs w:val="18"/>
                <w:color w:val="auto"/>
              </w:rPr>
            </w:pPr>
          </w:p>
        </w:tc>
        <w:tc>
          <w:tcPr>
            <w:tcW w:w="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(259,345)</w:t>
            </w:r>
          </w:p>
        </w:tc>
        <w:tc>
          <w:tcPr>
            <w:tcW w:w="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(300,159)</w:t>
            </w: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2024, the Company sold its property located at 28411 Race Track Road, Bonita Springs, Florida, for net cash proceeds of $2,101,185, net of the payoff of principal and interest in the amount of $356,215 on Maple Mark Term Loan 2. A gain in the amount of $1,807,516 was recorded on this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30,2024, the Company sold certain intangible assets of igourmet including but not limited to copyrights, trademarks, tradenames, and customer lists for net cash proceeds of $617,000. The buyer also assumed certain liabilities in the net amount of $309,463. A gain in the amount of $834,463 was recorded on this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2024, we sold substantially all of the assets of Mouth including copyrights, trademarks, tradenames, and customer lists; these assets were fully amortized at the time of the sale. In addition, the buyer assumed the liability for deferred revenue in the amount of $174,637. A gain in the amount of $174,637 was recorded on this transaction.</w:t>
      </w:r>
    </w:p>
    <w:p>
      <w:pPr>
        <w:sectPr>
          <w:pgSz w:w="11900" w:h="16838" w:orient="portrait"/>
          <w:cols w:equalWidth="0" w:num="1">
            <w:col w:w="11240"/>
          </w:cols>
          <w:pgMar w:left="320" w:top="229" w:right="339" w:bottom="1440" w:gutter="0" w:footer="0" w:header="0"/>
          <w:type w:val="continuous"/>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29, 2023, the Company sold 100% of the equity interests in Organic Food Brokers, LLC (“OFB” or “GROW”) and Oasis Sales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(“Oasis”) to a single buyer for a purchase price of $75,000. The Company recorded a loss in the amount of $45,022 on this transaction.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Haley had no assets or liabilities at the time of the sale. The Company valued the 21,126 shares of common stock at the market price on the date of the acquisition of $1.00 per sale and recorded a gain in the amount of $21,126 on this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Golden Organics, Inc.</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14, 2024, the Company entered into an asset purchase agreement (the “GO APA”) with Golden Organics, Inc., a wholesaler of bulk organic and other related food products. Pursuant to the GO APA, the Company acquired substantially all the properties, business, and assets of Golden Organics, Inc. for an aggregate purchase price of $1,580,000, subject to net accounts receivable and accounts payable adjustments. The Company accounted for the GO APA pursuant to the guidance of ASC 805 – Accounting for Business Combinations (“ASC 805”). The $1,580,000 purchase price consisted of a cash payment of $1,230,000 at closing and a promissory note in the amount of $350,000 bearing interest at the rate of 6% per annum and payable in 60 equal monthly installments. At December 31, 2024, the Company had made cash payments in the aggregate amount of $1,231,379 on the GO APA and recorded ROU operating assets and liabilities of $731,566; intangible assets of $198,593; property and equipment of $131,250; accounts receivable of $611,132; inventory of $1,102,536, and other current assets of $84,000; accounts payable of $546,132; and note payable of $350,000.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LoCo Foods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2024, the Company through its subsidiary, Golden Organics, Inc., entered into an asset purchase agreement (the “LoCo APA”) with LoCo Food Distribution LLC, a Colorado limited liability company (“LoCo”), a wholesaler of food related products, and Elizabeth G. Mozer and Benjamin Mozer (each an “Owner,” collectively, the “Owners” and together with LoCo, collectively, the “Seller Parties”). The Company accounted for the LoCo APA pursuant to the guidance of ASC 805. Pursuant to the LoCo APA, the Company acquired substantially all of LoCo’s properties, business, and assets used and/or useful in the operation of LoCo’s business of sourcing and wholesaling food products, and agreed to assume certain liabilities of LoCo for an aggregate purchase price of $304,269, which is payable to LoCo’s lenders for all outstanding and unpaid indebtedness of LoCo. The Company also entered into an earnout agreement with LoCo in the amount of $53,430, payable by Golden Organics to the Owners based upon twelve month revenue and earnings targets. The Company expects these targets to be met. At December 31, 2024, the Company had recorded the following assets and liabilities pursuant to the LoCo APA: Cash received of $42,000; intangible assets of $232,972; property and equipment of $252,000; accounts payable and accrued liabilities of $1,008,590; and contingent liability payable of $54,430.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ACCOUNTS RECEIVABLE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2024 and 2023, accounts receivable consisted of:</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63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4,344,912</w:t>
            </w:r>
          </w:p>
        </w:tc>
        <w:tc>
          <w:tcPr>
            <w:tcW w:w="80" w:type="dxa"/>
            <w:vAlign w:val="bottom"/>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(46,477)</w:t>
            </w:r>
          </w:p>
        </w:tc>
      </w:tr>
      <w:tr>
        <w:trPr>
          <w:trHeight w:val="223"/>
        </w:trPr>
        <w:tc>
          <w:tcPr>
            <w:tcW w:w="114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4,298,435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the Company charged the amount of $4,599 and $73,330, respectively, to bad debt expense.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specialty food products. At December 31, 2024 and 2023, inventory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slow moving &amp; obsolete inventory</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(189,582)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 net</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property and equipment at December 31, 2024 and 2023 is as follows: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277,353</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(1,636,367)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(2,725,230)</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$173,021 and $392,354 for the years ended December 31, 2024 and 2023, respectively, which is recorded in selling, general &amp; administrating expenses on the Company’s statement of operations. During the year ended December 31, 2024, the Company disposed of a vehicle with a cost of $51,091 and accumulated depreciation of $49,380.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CLASSIFIED AS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classified the land, building, leasehold improvements, and certain equipment located at 28411 Race Track Road, Bonita Springs, Florida, 34135 (the “Race Track Road Property”) as held for sale. On February 14, 2024, the Company finalized the sale of the Race Track Road Property for cash in the amount of $2,455,000. The Company recorded a gain on the sale in the amount of $1,807,516. Proceeds of the sale in the amount of $353,815 were used to pay the mortgage and accrued interest on the Race Track Road Property. Total expenses related to the sale were $165,755, including a commission of $147,300, state taxes of $17,185, and closing fees of $1,270.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classified the land and building located at 220 Oak Hill Road, Mountain Top, Pennsylvania, as held for sale. The net book value of these assets consisted of the following at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5,070,561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9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649,844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96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RIGHT OF USE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years ended December 31, 2024 and December 31, 2023 was entirely comprised of operating leases and amounted to $62,686 and $58,915, respectively. The Company’s ROU asset amortization for the years ended December 31, 2024 and 2023 was $54,609 and $51,756, respectively. The difference between the lease expense and the associated ROU asset amortization consists of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5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(239,660)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(17,131)</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(76,043)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operating lease of a building in the amount of $599,116 and an operating lease of vehicles in the amount of $132,451 in connection with the acquisition of Golden Organics. During the year ended December 31, 2023, the Company recorded the removal of a right to use asset and lease liability in the amount of $72,150 due to the termination of an office 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See Note 16. Right of use asset – financing leases are summarized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404,858</w:t>
            </w:r>
          </w:p>
        </w:tc>
        <w:tc>
          <w:tcPr>
            <w:tcW w:w="80" w:type="dxa"/>
            <w:vAlign w:val="bottom"/>
            <w:shd w:val="clear" w:color="auto" w:fill="CCEEFF"/>
          </w:tcPr>
          <w:p>
            <w:pPr>
              <w:spacing w:after="0"/>
              <w:rPr>
                <w:sz w:val="18"/>
                <w:szCs w:val="18"/>
                <w:color w:val="auto"/>
              </w:rPr>
            </w:pPr>
          </w:p>
        </w:tc>
      </w:tr>
      <w:tr>
        <w:trPr>
          <w:trHeight w:val="22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736,156</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555,416</w:t>
            </w:r>
          </w:p>
        </w:tc>
        <w:tc>
          <w:tcPr>
            <w:tcW w:w="80" w:type="dxa"/>
            <w:vAlign w:val="bottom"/>
            <w:tcBorders>
              <w:bottom w:val="single" w:sz="8" w:color="CCEEFF"/>
            </w:tcBorders>
          </w:tcPr>
          <w:p>
            <w:pPr>
              <w:spacing w:after="0"/>
              <w:rPr>
                <w:sz w:val="19"/>
                <w:szCs w:val="19"/>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960,274</w:t>
            </w:r>
          </w:p>
        </w:tc>
        <w:tc>
          <w:tcPr>
            <w:tcW w:w="80" w:type="dxa"/>
            <w:vAlign w:val="bottom"/>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(616,741)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(523,871)</w:t>
            </w:r>
          </w:p>
        </w:tc>
      </w:tr>
      <w:tr>
        <w:trPr>
          <w:trHeight w:val="209"/>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on right of use assets for the years ended December 31, 2024 and 2023 was $92,870 and $133,920, respectively. During the year ended December 31, 2024, the Company recorded right of use assets and lease liabilities in the amount of $180,740 related to warehouse equipment.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r>
      <w:tr>
        <w:trPr>
          <w:trHeight w:val="238"/>
        </w:trPr>
        <w:tc>
          <w:tcPr>
            <w:tcW w:w="8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forklift dated July 12, 2021 in the original amount of $16,070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in thirty-six monthly installments of $489 including interest at the rate of 6.01%. During the year ended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the Company made principal and interest payments on this lease obligation in the amounts of $2,884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$65, respectively. During the year ended December 31, 2023, the Company made principal and interest payments 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$5,512 and $354,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pallet truck dated July 15, 2021 in the original amount of $5,816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in thirty-six monthly installments of $177 including interest at the rate of 6.01%. During the year ended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the Company made principal and interest payments on this lease obligation in the amounts of $1,044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$24, respectively. During the year ended December 31, 2023, the Company made principal and interest payments 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lease obligation in the amounts of $1,996 and $128,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furniture and equipment truck dated October 14, 2020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original amount of $514,173 payable in sixty monthly installments of $9,942 including interest at the rate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During the year ended December 31, 2024, the Company made principal and interest payments on this lease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 in the amount of $110,429 and $8,868, respectively. During the year ended December 31, 2023, the Company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principal and interest payments on this lease obligation in the amount of $104,019 and $15,289,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197,707</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 amount of $152,548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in eighty-four monthly installments of $2,188 including interest at the rate of 5.44%. During the year ended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the Company made principal and interest payments on this lease obligation in the amounts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$22,669 and $3,588, respectively. During the year ended December 31, 2023, the Company made principal and 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$21,467 and $4,788,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76,218</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November 5, 2018 in the original amount of</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$128,587 payable in seventy monthly installments of $2,326 including interest at the rate of 8.33%. During the year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December 31, 2024, the Company made principal and interest payments on this lease obligation in the amounts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$18,035 and $568, respectively. During the year ended December 31, 2023, the Company made principal and 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$25,252 and $2,657,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18,035</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 amount of $80,413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in eighty-four monthly installments of $1,148 including interest at the rate of 5.0%. During the year ended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the Company made principal and interest payments on this lease obligation in the amounts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$12,293 and $1,385, respectively. During the year ended December 31, 2023, the Company made principal and 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this lease obligation in the amounts of $11,787 and $1,988,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33,322</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February 4, 2022 in the original amount of $42,500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in twenty-four monthly installments of $1,963 including interest at the rate of 10.1%. During the year ended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the Company made principal and interest payments on this lease obligation in the amounts of $5,794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$1,564, respectively. During the year ended December 31, 2023, the Company made principal and interest payments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this lease obligation in the amounts of $20,032 and $1,564,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5,794</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equipment dated September 12, 2024 in the original</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$180,740 payable in sixty monthly payments in the minimum amount of $2,846 including interest at the rate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6.01%. The amount of the monthly payments is based upon the amount of supplies and materials the Company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from the lessor each month. During the year ended December 31, 2024, the Company made principal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payments on this lease obligation in the amounts of $55,108 and $2,154,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125,632</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335,004</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115,738</w:t>
            </w:r>
          </w:p>
        </w:tc>
      </w:tr>
      <w:tr>
        <w:trPr>
          <w:trHeight w:val="23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139,591</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219,266</w:t>
            </w:r>
          </w:p>
        </w:tc>
      </w:tr>
      <w:tr>
        <w:trPr>
          <w:trHeight w:val="209"/>
        </w:trPr>
        <w:tc>
          <w:tcPr>
            <w:tcW w:w="8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84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lease liabilities – financing leases as of December 31, 2024 are as follows: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7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igourmet, OFB, Haley, and M Innovations. These assets include non-compete agreements, customer relationships, trade names, internally developed technology, and goodwill. The Company has also capitalized the development of its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Amortizable Intangible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6, 2024, the Company signed an agreement to sell intangible assets of its consumer e-commerce business igourmet, generally consisting of customer lists, domains, and trademarks for cash of $700,000. The purchase price was $947,650, consisting of the following: The Company received cash of $617,000. The buyer also assumed liabilities of $330,650. The intangible assets sold were fully amortized on the Company’s balance sheet, and the Company recognized a gain on the sale of $834,463, net of acquisition costs in the amount of $113,187.</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14, 2024, the Company acquired certain assets of Goldan Organics, Inc. (the “GO Transaction”). See note 5. Pursuant to the GO Transaction, the Company recorded an intangible asset in the amount of $198,593 representing the client base of Golden Organics. On December 19, 2024, the Company acquired, through its subsidiary Golden Organics, Inc., certain assets of LoCo Food Distribution, LLC , Inc. (the “LoCo Transaction”). See Note</w:t>
      </w:r>
    </w:p>
    <w:p>
      <w:pPr>
        <w:spacing w:after="0" w:line="1" w:lineRule="exact"/>
        <w:rPr>
          <w:sz w:val="20"/>
          <w:szCs w:val="20"/>
          <w:color w:val="auto"/>
        </w:rPr>
      </w:pPr>
    </w:p>
    <w:p>
      <w:pPr>
        <w:ind w:firstLine="8"/>
        <w:spacing w:after="0" w:line="260" w:lineRule="auto"/>
        <w:tabs>
          <w:tab w:leader="none" w:pos="1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LoCo Transaction, the Company recorded an intangible asset in the amount of $232,972 representing a customer list. The total amount of intangible assets obtained in the GO and LOCO transactions was $431,565. This amount if being amortized over a period of 60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years ended December 31, 2024 and 2023 was $7,193 and $0,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Non-Amortizable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 non-amortizable intangible assets consist of $217,000 of trade names held by Artisan. The Company followed the guidance of ASC 360,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Plant, and Equipment</w:t>
      </w:r>
      <w:r>
        <w:rPr>
          <w:rFonts w:ascii="Times New Roman" w:cs="Times New Roman" w:eastAsia="Times New Roman" w:hAnsi="Times New Roman"/>
          <w:sz w:val="18"/>
          <w:szCs w:val="18"/>
          <w:color w:val="auto"/>
        </w:rPr>
        <w:t>, in assessing these assets for impairment. ASC 360 states that impairment testing should be completed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The following is the net book value of these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Names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2024 and December 31, 2023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5,829,506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5,772,986</w:t>
            </w:r>
          </w:p>
        </w:tc>
        <w:tc>
          <w:tcPr>
            <w:tcW w:w="80" w:type="dxa"/>
            <w:vAlign w:val="bottom"/>
            <w:shd w:val="clear" w:color="auto" w:fill="CCEEFF"/>
          </w:tcPr>
          <w:p>
            <w:pPr>
              <w:spacing w:after="0"/>
              <w:rPr>
                <w:sz w:val="18"/>
                <w:szCs w:val="18"/>
                <w:color w:val="auto"/>
              </w:rPr>
            </w:pPr>
          </w:p>
        </w:tc>
      </w:tr>
      <w:tr>
        <w:trPr>
          <w:trHeight w:val="229"/>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payroll and commissions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232,526</w:t>
            </w:r>
          </w:p>
        </w:tc>
        <w:tc>
          <w:tcPr>
            <w:tcW w:w="80" w:type="dxa"/>
            <w:vAlign w:val="bottom"/>
            <w:tcBorders>
              <w:bottom w:val="single" w:sz="8" w:color="CCEEFF"/>
            </w:tcBorders>
          </w:tcPr>
          <w:p>
            <w:pPr>
              <w:spacing w:after="0"/>
              <w:rPr>
                <w:sz w:val="19"/>
                <w:szCs w:val="19"/>
                <w:color w:val="auto"/>
              </w:rPr>
            </w:pP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6,653,622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6,005,512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ACCRUED SEPARATION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 interest-bearing note payable to Mr. Klepfish. The SK Agreements also call for the delivery of 400,000 shares of the Company’s common stock valued at $168,000 based upon the closing price of the Company’s common stock on Mr. Klepfish’s separation date of February 28, 2023;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 The total amount accrued in connection with the SK Agreements was $1,819,199.</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2023, the Company entered into a separation agreement (the “Wiernasz Separation Agreement”) with Justin Wiernasz, its prior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with Richard Tang, its Chief Financial Officer (the “Tang Separation Agreement”) effective as of December 31, 2023. Pursuant to the Tang Separation Agreement, the Company will pay to Mr. Tang, in equal installments over a five month period, the gross sum of $113,918. In addition, Mr. Tang may submit for reimbursement up to $4,000 of legal expenses connected with the review of this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Mr. Tang timely elects to continue his group health insurance benefits under the Consolidated Omnibus Reconciliation Act (“COBRA”), the Company will reimburse Mr. Tang’s group health insurance premiums (“COBRA Premiums”) for the lesser of: (a) the period of time Employee is eligible to continue his group health insurance benefits under COBRA and (b) the five-month period immediately following the Separation Date. Reimbursements will be paid within thirty days of when Mr. Tang submits a request for reimbursement and supporting documentation.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made the following payments in connection with the SK Agreements: The Company paid cash in the amount of $333,333 to Mr. Klepfish.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made the following payments in connection with the Wiernasz Separation Agreement: The Company made Cobra payments on behalf of Mr. Weirnasz in the amount of $967.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made the following payments in connection with the Tang Separation Agreement: The Company made cash payments to Mr. Tang in the amount of $113,918, and Cobra payments on behalf of Mr. Tang in the amount of $14,495.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Paid / Issued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(608,975)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333,333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57,692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168,000</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(168,000)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(1,026,975</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792,224</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334,532</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457,692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Mr. Wiernasz:</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three equal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26,451</w:t>
            </w:r>
          </w:p>
        </w:tc>
        <w:tc>
          <w:tcPr>
            <w:tcW w:w="22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(26,451)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Wiernasz</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113,918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(113,918)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(14,495)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 Mr. Tang</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2,074,063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(1,281,839)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792,224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334,532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457,692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STOCK APPRECIATION RIGHTS LIABILITY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December 31, 2024, the Smallwood SARs had a fair value of $1,353,150; the increase in fair value in the amount $1,098,130 was charged to non-cash compensation during the year ended December 31, 2024.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70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assumption were utilized in the valuation of the Smallwood SARs: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70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Black-Scholes model variables:</w:t>
            </w: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86.58-131.55%</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53.3-95.5%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3.66-4.71%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3.67-5.03%</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NOTES PAYABLE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On June 13, 2023, the Company entered into a term loan with MapleMark Bank (the “MapleMark Term Loan 3”) in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amount of $9,057,840. Principal and interest due on the MapleMark Term Loan 1 in the amounts of $5,324,733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$61,715, respectively, were paid with proceeds of the MapleMark Term Loan 3. The MapleMark Term Loan 3 is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in monthly installments of $80,025 commencing July 1, 2023 and continuing through June 13, 2048.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outstanding under the Maple Mark Term Loan 3 will bear interest at the rate equal to the lesser of (a)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Lawful Rate, or (b) the greater of (i) WSJP (the “Prime Rate” as published by The Wall Street Journal) plus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 per annum or (ii) 4.50% per annum. At December 31, 2024, the interest rate was 9.50%. The MapleMark Term</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3 matures on June 13, 2048.  The MapleMark Term Loan 3 contains negative covenants that, subject to certain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exceptions, limits the ability of the Company and its subsidiaries to, among other things, incur additional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indebtedness, make restricted payments, pledge their assets as security, make investments, loans, advances, guarantees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acquisitions, undergo fundamental changes and enter into transactions with affiliates. The Term Loan Agreements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also provides that the Company and its subsidiaries on a consolidated basis, meet a Fixed Charge Coverage Ratio as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described in detail in the Loan Agreements. The Term Loan Agreements contain events of default that are customary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a facility of this nature, including (subject in certain cases to grace periods and thresholds) nonpayment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nonpayment of interest, fees or other amounts, material inaccuracy of representations and warranties,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violation of covenants, cross-default to certain other existing indebtedness, bankruptcy or insolvency events,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judgment defaults as specified in the Term Loan Agreements. If an event of default occurs, the maturity of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owed under the Term Loan Agreements may be accelerated. The obligations under the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Agreements are guaranteed by the Company and IFP and are secured by mortgages on their real estate located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 Illinois, and Pennsylvania and substantially all of their assets, in each case, subject to certain exceptions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 liens.  The Company created a discount on the MapleMark Term Loan 3 for costs in the amount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$385,803 which will be amortized over the life of the loan. During the year ended December 31, 2024, the Company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$5,136 of these costs to interest expense. During the year ended December 31, 2024, the Company made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in the amount of $90,530 on this loan. During the year ended December 31, 2024, the Company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in the amount of $876,018 on the MapleMark term Loan 3. At December 31, 2024, accrued interest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this note was $72,273.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8,895,112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8,985,642</w:t>
            </w:r>
          </w:p>
        </w:tc>
      </w:tr>
      <w:tr>
        <w:trPr>
          <w:trHeight w:val="547"/>
        </w:trPr>
        <w:tc>
          <w:tcPr>
            <w:tcW w:w="86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Index</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8"/>
        </w:trPr>
        <w:tc>
          <w:tcPr>
            <w:tcW w:w="420" w:type="dxa"/>
            <w:vAlign w:val="bottom"/>
            <w:tcBorders>
              <w:top w:val="single" w:sz="8" w:color="0000EE"/>
            </w:tcBorders>
          </w:tcPr>
          <w:p>
            <w:pPr>
              <w:spacing w:after="0"/>
              <w:rPr>
                <w:sz w:val="24"/>
                <w:szCs w:val="24"/>
                <w:color w:val="auto"/>
              </w:rPr>
            </w:pPr>
          </w:p>
        </w:tc>
        <w:tc>
          <w:tcPr>
            <w:tcW w:w="82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term loan agreement with MapleMark (the “MapleMark Term Loan 2”)</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original amount of $356,800. This amount was paid by MapleMark directly to Fifth Third Bank in satisfaction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outstanding principal and interest due under existing loans with Fifth Third Bank. The MapleMark Term Loan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originally matured on May 27, 2023. On June 9, 2023, the USDA approved the Guarantee of MapleMark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which allowed the Company to extend the term of the MapleMark Term Loan 2 from May 27, 2023 to May 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2033 with monthly payments in the amount of approximately $2,311 commencing July 1, 2023 and continuing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through June 1, 2033. On July 1, 2033, a final payment in the amount of approximately $303,536 will be due on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Term Loan 2.  The MapleMark Term Loan 2 contains negative covenants that, subject to certain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exceptions, limits the ability of the Company and its subsidiaries to, among other things, incur additional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indebtedness, make restricted payments, pledge their assets as security, make investments, loans, advances, guarantees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acquisitions, undergo fundamental changes and enter into transactions with affiliates. The Term Loan Agreements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also provides that the Company and its subsidiaries on a consolidated basis, meet a Fixed Charge Coverage Ratio as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described in detail in the Loan Agreements. The Term Loan Agreements contain events of default that are customary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a facility of this nature, including (subject in certain cases to grace periods and thresholds) nonpayment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nonpayment of interest, fees or other amounts, material inaccuracy of representations and warranties,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violation of covenants, cross-default to certain other existing indebtedness, bankruptcy or insolvency events,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judgment defaults as specified in the Term Loan Agreements. If an event of default occurs, the maturity of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owed under the Term Loan Agreements may be accelerated. The obligations under the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 are guaranteed by the Company and IFP and are secured by mortgages on their real estate located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 Illinois, and Pennsylvania and substantially all of their assets, in each case, subject to certain exceptions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permitted liens. The Company recorded a discount to this loan in the amount of $23,367 in connection with financing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which was amortized to interest expense during the year ended December 31, 2023.  On February 14, 2024,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sold its Race Track Road Facility in Bonita Springs, Florida, which had been pledged as security for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MapleMark Term Loan 2. Proceeds from the sale in the amount of $352,905 and $910 were used to pay the remaining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interest, respectively, on the MapleMark Term Loan 2. At December 31, 2024, there were no amounts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under the MapleMark Term Loan 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352,905</w:t>
            </w:r>
          </w:p>
        </w:tc>
        <w:tc>
          <w:tcPr>
            <w:tcW w:w="80" w:type="dxa"/>
            <w:vAlign w:val="bottom"/>
            <w:shd w:val="clear" w:color="auto" w:fill="CCEEFF"/>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is currently accruing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this note at 1.9%. During the year ended December 31, 2024, the Company accrued interest in the amount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$378 on this note. At December 31, 2024, accrued interest on this note was $18,860.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4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$350,000 issued in connection with the GO Acquisition ( the GO Note”). See Note 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GO Note is payable in 60 equal monthly instalments of $6,766 and bears interest at the rate of 6.0%. During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 the Company made principal and interest payments on the GO note in the amount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$5,016 and $1,750, respectively.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344,984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9,260,096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9,358,547</w:t>
            </w:r>
          </w:p>
        </w:tc>
        <w:tc>
          <w:tcPr>
            <w:tcW w:w="8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(377,370)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(382,506)</w:t>
            </w:r>
          </w:p>
        </w:tc>
      </w:tr>
      <w:tr>
        <w:trPr>
          <w:trHeight w:val="25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8,882,726</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420" w:type="dxa"/>
            <w:vAlign w:val="bottom"/>
            <w:shd w:val="clear" w:color="auto" w:fill="CCEEFF"/>
          </w:tcPr>
          <w:p>
            <w:pPr>
              <w:spacing w:after="0"/>
              <w:rPr>
                <w:sz w:val="17"/>
                <w:szCs w:val="17"/>
                <w:color w:val="auto"/>
              </w:rPr>
            </w:pPr>
          </w:p>
        </w:tc>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190,052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121,041</w:t>
            </w:r>
          </w:p>
        </w:tc>
        <w:tc>
          <w:tcPr>
            <w:tcW w:w="8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8,692,674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8,855,000</w:t>
            </w:r>
          </w:p>
        </w:tc>
        <w:tc>
          <w:tcPr>
            <w:tcW w:w="80" w:type="dxa"/>
            <w:vAlign w:val="bottom"/>
            <w:shd w:val="clear" w:color="auto" w:fill="CCEEFF"/>
          </w:tcPr>
          <w:p>
            <w:pPr>
              <w:spacing w:after="0"/>
              <w:rPr>
                <w:sz w:val="19"/>
                <w:szCs w:val="19"/>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8,882,726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8,976,041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$91,347 and $95,942 accrued interest on notes payable at December 31, 2024 and 2023,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686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maturities of notes payable as of December 31, 2024 are as follows:</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7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8,233,041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9,260,096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a total of 2,844,297 and 2,823,171 shares, respectively, were issued but deemed not outstanding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(see Note 4). Haley had no assets or liabilities at the time of the sale; the Company valued the 21,126 shares of common stock at the market price on the date of the acquisition of $1.00 per sale and recorded a gain in the amount of $21,126 on this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2024, the Company issued a net amount of 24,138 shares of common stock pursuant to the cashless exercise of 50,000 options by a previous CFO at an exercise price of $0.60 per shares. There was no gain or loss on this transaction because the shares were issued at the fair value of $1.16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2024, the Company issued a total of 1,415,544 shares of common stock pursuant to the Company’s executive stock plans. These shares were recorded at the aggregate par value of $142; there was no gain or loss recorded on these transactions as the shares were issued pursuant to the terms of the compensation plans.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2024, the Company sold 1,906,250 shares of common stock and on December 4, 2024 the Company sold an additional 125,000 shares of common stock (a total of 2,031,250 shares) at a price of $1.60 per share for total proceeds of $3,250,000.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2024, the Company issued the following shares pursuant to executive stock plans: 517,429 shares of common stock were issued to its CEO, net of 455,991 shares withheld for the payment of taxes in the amount of $664,431; 133,631 shares of common stock were issued to its COO, net of 112,151 shares withheld for the payment of taxes in the amount of $163,763; and 73,735 shares were issued to its CFO, net of 57,350 shares withheld for the payment of taxes in the amount of $80,290.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2023, the Company issued 875,000 shares of common stock, net of 207,839 shares withheld for income taxes, to its previous Chief Financial Officer compensation. These shares were previously accrued and were carried on the Company’s balance sheet as common stock to be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28, 2023, the Company issued 267,030 shares with a value of $112,169 to three employees as compensation.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2023, the Company accrued the issuance of 207,274 shares of common stock with a value of $45,680 to its then officers and directors for compensation. These shares were recorded to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2023, the Company issued 400,000 shares of common stock to the previous Chief Executive Officer pursuant to the SK Agreements. See Note 14.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2023, the Company accrued the issuance of 15,106 shares of common stock with a value of $5,000 to two directors for compensation. These shares were recorded to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7, 2023, the Company issued 178,626 shares of common stock to a designee of its previous Chief Executive Officer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31, 2023, the Company issued 14,754 shares of common stock to its previous Director of Strategic Acquisitions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236,810 shares of common stock to a board member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222,401 shares of common stock, net of 14,409 shares owed to the Company from a previous transaction to a board member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2023, the Company issued 320 shares of common stock to a previous employee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2023, the Company issued 30,000 shares of common stock to a service provider as compensation. These shares were previously accrued and were carried on the Company’s balance sheet as common stock to be issued.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7, 2023, the Company issued 678,302 shares of common stock, net of 265,229 shares withheld for income tax purposes, to its Chief Executive Officer pursuant to his compensation plan. The fair value of these shares at the inception of the plan in the amount of $190,072 is charged to operations over the thirty-four month life of the plan.</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December 30, 2023, the Company issued the net amount of 57,560 shares of common stock in a cashless exercise of 360,000 options at a price of $0.62 per share.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15, 2024, the Company issued 150,000 shares of common stock to a previous director for options previously exercised. These shares were recorded as issued on the Company’s balance sheet effective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The Smallwood SARs were valued utilizing the Black-Scholes valuation model, and had an aggregate fair value of $9,794 upon issuance. This amount was charged to non-cash compensation and credited to a current liability on the Company’s balance sheet. The Smallwood SARs will be revalued each reporting period and any change in value will be charged to compensation expense. At December 31, 2024, the Smallwood SARs had a fair value of $1,353,150; the increase in value during the year ended December 31, 2024 in the amount of $1,098,130 was charged to compensation expense. See Note 15.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p>
      <w:pPr>
        <w:spacing w:after="0" w:line="2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14605</wp:posOffset>
            </wp:positionV>
            <wp:extent cx="16116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 w:lineRule="exact"/>
        <w:rPr>
          <w:sz w:val="20"/>
          <w:szCs w:val="20"/>
          <w:color w:val="auto"/>
        </w:rPr>
      </w:pPr>
    </w:p>
    <w:p>
      <w:pPr>
        <w:ind w:left="7840"/>
        <w:spacing w:after="0"/>
        <w:tabs>
          <w:tab w:leader="none" w:pos="92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51"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6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6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86.58-131.55 %</w:t>
            </w:r>
          </w:p>
        </w:tc>
        <w:tc>
          <w:tcPr>
            <w:tcW w:w="132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45.0-53.3%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3.66-4.71%</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3.67-5.03%</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3.00-3.63</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Incentive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Stock Plan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CEO. See Note 17.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23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96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312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23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38"/>
        </w:trPr>
        <w:tc>
          <w:tcPr>
            <w:tcW w:w="6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6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0"/>
                <w:szCs w:val="20"/>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CEO Stock Plan had a fair value of $660,541 at inception (see “Stock Plan Valuation” section below). This amount is being amortized over the 34 month life of the plan. During the year ended December 31, 2024 and 2023, $233,132 and $195,047 of this amount was charged to operations,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first of the price targets under the CEO Stock Plan was achieved, and Mr. Bennett was eligible to receive 943,531 shares of the Company’s common stock. On November 7, 2023, 678,302 of these shares were issued to Mr. Bennet and of 265,229 shares were withheld for income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price targets of $0.80, $1.00, $1.20, $1.40, and $1.60 were achieved, and Mr. Bennett became eligible to receive an additional total of 2,194,050 shares. A total of 1,218,917 shares were issued to Mr. Bennett, and an additional 530,665 shares were recorded as to be issued to Mr. Bennett, net of 444,468 shares withheld for taxes; at December 31, 2024, 487,566 shares were unearned.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See Note 17.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23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96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312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23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38"/>
        </w:trPr>
        <w:tc>
          <w:tcPr>
            <w:tcW w:w="6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6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20"/>
                <w:szCs w:val="20"/>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COO Stock Plan had a fair value of $199,951 at inception (see “Stock Plan Valuation” section below). This amount is being amortized over the 31.5-month life of the plan. During the year ended December 31, 2024 and 2023, $76,172 and $47,607 of this amount was charged to operations,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price targets of $0.87, $1.16, and $1.45 were achieved, and Mr. Smallwood became eligible to receive a total of 442,410 shares. A total of 196,627 shares were issued to Mr. Smallwood, and an additional 133,632 shares were recorded as to be issued, net of 112,151 shares withheld for taxes; at December 31, 2024, 294,941 shares were unearned.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See Note 17.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23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596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312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Shares Issued</w:t>
            </w:r>
          </w:p>
        </w:tc>
        <w:tc>
          <w:tcPr>
            <w:tcW w:w="2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23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Outstanding on</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38"/>
        </w:trPr>
        <w:tc>
          <w:tcPr>
            <w:tcW w:w="6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6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8"/>
                <w:szCs w:val="18"/>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20"/>
                <w:szCs w:val="20"/>
                <w:color w:val="auto"/>
              </w:rPr>
            </w:pPr>
          </w:p>
        </w:tc>
        <w:tc>
          <w:tcPr>
            <w:tcW w:w="3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CFO Stock Plan had a fair value of $238,747 at inception (see “Stock Plan Valuation” section below). This amount will be amortized over the 30-month life of the plan beginning January 1, 2024. During the year ended December 31, 2024 and 2023, $95,500 and $0 of this amount was charged to operations,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price targets of $1.23 and $1.63 were achieved, and Mr. Schubert became eligible to receive a total of 229,398 shares, of which 131,085 were approved for issuance by the Company’s board of directors. A total of 73,735 shares were issued to Mr. Schubert, net of 57,350 shares withheld for taxes; at December 31, 2024, 98,313 shares were earned and issuable pending approval of the Company’s board of directors, and 262,169 shares were unearned.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of Stock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relied upon the guidance of Statement of Financial Account Standards No. 718 Compensation – Stock Compensation (“ASC 718”) in accounting for the CEO Stock Plan, the COO Stock Plan, and the CFO Stock Plan (collectively, the “Officer Stock Plans”). A Monte Carlo market-based performance stock awards model was used in valuing the plan, with the following assumptions:</w:t>
      </w:r>
    </w:p>
    <w:p>
      <w:pPr>
        <w:spacing w:after="0" w:line="176"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award the stock upon triggering the thresholds.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attrition or forfeiture rates (i.e., pre–vesting forfeiture assumption) are assumed to be zero given the Holder’s position with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Projected capital events were included in the adjustments to the shares issued and outstanding in the projected simulations.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Awards/Payouts were discounted at the risk–free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 Stock Plans were not valued during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 Stock Plans were valued using the following variables during the year ended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103.9%-113.7%</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3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4.29%-4.45%</w:t>
            </w: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1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2.63-2.91</w:t>
            </w:r>
          </w:p>
        </w:tc>
      </w:tr>
      <w:tr>
        <w:trPr>
          <w:trHeight w:val="37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Options</w:t>
            </w:r>
          </w:p>
        </w:tc>
        <w:tc>
          <w:tcPr>
            <w:tcW w:w="5200" w:type="dxa"/>
            <w:vAlign w:val="bottom"/>
            <w:gridSpan w:val="2"/>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issued 130,000 options with an exercise price of $1.25 per share and a grant date fair value of $20,847 to an employee. These options vested upon issuance and will expire on June 30, 2026.</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130,000 options with an exercise price of $1.75 per share and a grant date fair value of $11,688 to an employee. These options vested upon issuance and will expire on June 30,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as of December 31, 2024:</w:t>
      </w:r>
    </w:p>
    <w:p>
      <w:pPr>
        <w:sectPr>
          <w:pgSz w:w="11900" w:h="16838" w:orient="portrait"/>
          <w:cols w:equalWidth="0" w:num="1">
            <w:col w:w="11240"/>
          </w:cols>
          <w:pgMar w:left="320" w:top="229" w:right="339" w:bottom="1440" w:gutter="0" w:footer="0" w:header="0"/>
        </w:sect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ind w:left="1100"/>
              <w:spacing w:after="0" w:line="191" w:lineRule="exact"/>
              <w:rPr>
                <w:sz w:val="20"/>
                <w:szCs w:val="20"/>
                <w:color w:val="auto"/>
              </w:rPr>
            </w:pPr>
            <w:r>
              <w:rPr>
                <w:rFonts w:ascii="Times New Roman" w:cs="Times New Roman" w:eastAsia="Times New Roman" w:hAnsi="Times New Roman"/>
                <w:sz w:val="18"/>
                <w:szCs w:val="18"/>
                <w:color w:val="auto"/>
                <w:w w:val="88"/>
              </w:rPr>
              <w:t>1.00</w:t>
            </w:r>
          </w:p>
        </w:tc>
        <w:tc>
          <w:tcPr>
            <w:tcW w:w="260" w:type="dxa"/>
            <w:vAlign w:val="bottom"/>
          </w:tcPr>
          <w:p>
            <w:pPr>
              <w:spacing w:after="0"/>
              <w:rPr>
                <w:sz w:val="16"/>
                <w:szCs w:val="16"/>
                <w:color w:val="auto"/>
              </w:rPr>
            </w:pPr>
          </w:p>
        </w:tc>
        <w:tc>
          <w:tcPr>
            <w:tcW w:w="1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6"/>
                <w:szCs w:val="16"/>
                <w:color w:val="auto"/>
              </w:rPr>
            </w:pPr>
          </w:p>
        </w:tc>
        <w:tc>
          <w:tcPr>
            <w:tcW w:w="1660" w:type="dxa"/>
            <w:vAlign w:val="bottom"/>
            <w:tcBorders>
              <w:top w:val="single" w:sz="8" w:color="auto"/>
            </w:tcBorders>
          </w:tcPr>
          <w:p>
            <w:pPr>
              <w:ind w:left="1360"/>
              <w:spacing w:after="0" w:line="191" w:lineRule="exact"/>
              <w:rPr>
                <w:sz w:val="20"/>
                <w:szCs w:val="20"/>
                <w:color w:val="auto"/>
              </w:rPr>
            </w:pPr>
            <w:r>
              <w:rPr>
                <w:rFonts w:ascii="Times New Roman" w:cs="Times New Roman" w:eastAsia="Times New Roman" w:hAnsi="Times New Roman"/>
                <w:sz w:val="18"/>
                <w:szCs w:val="18"/>
                <w:color w:val="auto"/>
                <w:w w:val="88"/>
              </w:rPr>
              <w:t>0.99</w:t>
            </w:r>
          </w:p>
        </w:tc>
        <w:tc>
          <w:tcPr>
            <w:tcW w:w="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1.25</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130,000</w:t>
            </w: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5"/>
              </w:rPr>
              <w:t>1.50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1.75</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130,000</w:t>
            </w: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5"/>
              </w:rPr>
              <w:t>1.99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40" w:type="dxa"/>
            <w:vAlign w:val="bottom"/>
          </w:tcPr>
          <w:p>
            <w:pPr>
              <w:spacing w:after="0"/>
              <w:rPr>
                <w:sz w:val="18"/>
                <w:szCs w:val="18"/>
                <w:color w:val="auto"/>
              </w:rPr>
            </w:pPr>
          </w:p>
        </w:tc>
        <w:tc>
          <w:tcPr>
            <w:tcW w:w="1680" w:type="dxa"/>
            <w:vAlign w:val="bottom"/>
            <w:tcBorders>
              <w:top w:val="single" w:sz="8" w:color="auto"/>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w w:val="95"/>
              </w:rPr>
              <w:t>1.41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Options outstanding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Cancelled /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Options 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570039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Cancelled / Expired</w:t>
      </w: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Options 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5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15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 of</w:t>
            </w:r>
          </w:p>
        </w:tc>
      </w:tr>
      <w:tr>
        <w:trPr>
          <w:trHeight w:val="230"/>
        </w:trPr>
        <w:tc>
          <w:tcPr>
            <w:tcW w:w="15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4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exercisable</w:t>
            </w:r>
          </w:p>
        </w:tc>
      </w:tr>
      <w:tr>
        <w:trPr>
          <w:trHeight w:val="238"/>
        </w:trPr>
        <w:tc>
          <w:tcPr>
            <w:tcW w:w="15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40" w:type="dxa"/>
            <w:vAlign w:val="bottom"/>
          </w:tcPr>
          <w:p>
            <w:pPr>
              <w:spacing w:after="0"/>
              <w:rPr>
                <w:sz w:val="20"/>
                <w:szCs w:val="20"/>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91"/>
        </w:trPr>
        <w:tc>
          <w:tcPr>
            <w:tcW w:w="15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1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40" w:type="dxa"/>
            <w:vAlign w:val="bottom"/>
            <w:gridSpan w:val="2"/>
          </w:tcPr>
          <w:p>
            <w:pPr>
              <w:spacing w:after="0"/>
              <w:rPr>
                <w:sz w:val="16"/>
                <w:szCs w:val="16"/>
                <w:color w:val="auto"/>
              </w:rPr>
            </w:pPr>
          </w:p>
        </w:tc>
      </w:tr>
      <w:tr>
        <w:trPr>
          <w:trHeight w:val="234"/>
        </w:trPr>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8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130,000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445"/>
        </w:trPr>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8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130,000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24"/>
                <w:szCs w:val="24"/>
                <w:color w:val="auto"/>
              </w:rPr>
            </w:pPr>
          </w:p>
        </w:tc>
      </w:tr>
      <w:tr>
        <w:trPr>
          <w:trHeight w:val="210"/>
        </w:trPr>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16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5"/>
              </w:rPr>
              <w:t>310,000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auto"/>
            </w:tcBorders>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-7620</wp:posOffset>
            </wp:positionV>
            <wp:extent cx="10629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1"/>
        </w:trPr>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2,300,000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0.93</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48"/>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407"/>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48"/>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439"/>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80" w:type="dxa"/>
            <w:vAlign w:val="bottom"/>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880" w:space="280"/>
            <w:col w:w="5080"/>
          </w:cols>
          <w:pgMar w:left="320" w:top="229"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December 31, 2024 and 2023 was $111,800 and $77,530, respectively. Aggregate intrinsic value represents the difference between the Company’s closing stock price on the last trading day of the fiscal period, which was $1.78 and $0.74 as of December 31, 2024 and 2023, respectively, and the exercise price multiplied by the number of options outstanding.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charged $32,535 and $0, respectively, to operations related to recognized stock-based compensation expense for stock options.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69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exercise price at grant dates in relation to the market price during 2024 and 2023 are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5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lower than market price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7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7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exceeded market price</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1.25-1.75</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2024, and 2023, there were no non-vested options outstanding.</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for stock options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valued stock options using the Black-Scholes valuation model utilizing the following variables: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9"/>
                <w:szCs w:val="19"/>
                <w:color w:val="auto"/>
              </w:rPr>
            </w:pPr>
          </w:p>
        </w:tc>
        <w:tc>
          <w:tcPr>
            <w:tcW w:w="13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4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2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5"/>
              </w:rPr>
              <w:t>-%</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has determined that the Company operates in one reportable segment: the delivery of specialty foods. This determination was made based upon the characteristics of our business and the information used by the CODM in order monitor the business and allocate resources.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analysis of the Company’s segments is determined by the Chief Operating Decision Maker (“CODM”). The Company’s CODM is a group consisting of our executive management team: Bill Bennett, CEO; Brady Smallwood, COO; and Gary Schubert, CFO.</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uses net income to monitor budget versus actual results. The CODM also uses revenue by category to monitor the growth of the business in each of our target markets.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4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our segment results: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37,861,972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39,403,270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17,984,274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10,742,556</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12,089,900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9,929,068</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to consumer</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3,097,994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9,160,288</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1,100,236</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1,153,780</w:t>
            </w: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72,134,376</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70,388,962</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55,280,668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53,347,220</w:t>
            </w: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16,853,708</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17,041,742</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Opex:</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&amp; related costs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10,279,315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10,551,437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IT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391,466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513,275</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facility, vehicles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962,917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1,190,114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752,595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798,502</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215,349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199,780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29,861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584,363</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and credit card processing</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12,312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19,921</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1,644,488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1,334,988</w:t>
            </w: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2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4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14,288,303</w:t>
            </w:r>
          </w:p>
        </w:tc>
        <w:tc>
          <w:tcPr>
            <w:tcW w:w="2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15,192,380</w:t>
            </w:r>
          </w:p>
        </w:tc>
        <w:tc>
          <w:tcPr>
            <w:tcW w:w="2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Opex:</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73,330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1,055,400</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1,529,413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660,509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&amp; amortization of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273,084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557,268</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 on notes payable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&amp; fees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237,036</w:t>
            </w: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420" w:type="dxa"/>
            <w:vAlign w:val="bottom"/>
            <w:tcBorders>
              <w:top w:val="single" w:sz="8" w:color="CCEEFF"/>
            </w:tcBorders>
            <w:shd w:val="clear" w:color="auto" w:fill="CCEEFF"/>
          </w:tcPr>
          <w:p>
            <w:pPr>
              <w:spacing w:after="0"/>
              <w:rPr>
                <w:sz w:val="20"/>
                <w:szCs w:val="20"/>
                <w:color w:val="auto"/>
              </w:rPr>
            </w:pPr>
          </w:p>
        </w:tc>
        <w:tc>
          <w:tcPr>
            <w:tcW w:w="4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2,026,683</w:t>
            </w:r>
          </w:p>
        </w:tc>
        <w:tc>
          <w:tcPr>
            <w:tcW w:w="2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2,583,543</w:t>
            </w:r>
          </w:p>
        </w:tc>
        <w:tc>
          <w:tcPr>
            <w:tcW w:w="2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Non-recurring expenses:</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Separation costs - executive officers</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2,074,063</w:t>
            </w: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2,074,063</w:t>
            </w:r>
          </w:p>
        </w:tc>
        <w:tc>
          <w:tcPr>
            <w:tcW w:w="2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849,581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876,452</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subsidiaries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(21,126)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45,022</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(2,816,616)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(5,700)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(31,885)</w:t>
            </w: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(1,993,861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889,589</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7"/>
        </w:trPr>
        <w:tc>
          <w:tcPr>
            <w:tcW w:w="42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2,532,583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(3,697,833)</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15,834</w:t>
            </w:r>
          </w:p>
        </w:tc>
        <w:tc>
          <w:tcPr>
            <w:tcW w:w="4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2,532,583</w:t>
            </w:r>
          </w:p>
        </w:tc>
        <w:tc>
          <w:tcPr>
            <w:tcW w:w="2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(3,713,667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28,254,857</w:t>
            </w: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21,323,086</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316,567</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122,403</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4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of prior CEO and of a board member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payments in connection with the SK Agreements: The Company paid cash in the amount of $333,333 to Mr. Klepfish.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payments in connection with the Wiernasz Separation Agreement: The Company made Cobra payments on behalf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Weirnasz in the amount of $967.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the following payments in connection with the Tang Separation Agreement: The Company made cash payments to Mr. Tang in the amount of $113,918, and Cobra payments on behalf of Mr. Tang in the amount of $14,495.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the following payments in connection with separation agreements with Sam Klepfish, its prior CEO and current board member, and Justin Weirnasz, its prior Director of Strategic Acquisitions and board member. See Note 14.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cash in the amount of $525,643 to Mr. Klepfish. The Company also issued 400,000 shares of common stock with a fair value of $168,000.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in the amount of $100,000 to Mr. Weirnasz and made Cobra payments on behalf of Mr. Weirnasz in the amount of $25,484.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result from the temporary differences primarily attributable to amortization of intangible assets and debt discount and an accumulation of net operating loss carryforwards for income tax purposes with a valuation allowance against the carryforwards for book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Included in deferred tax assets are Federal and State net operating loss carryforwards of approximately $11,380,000 which can be carried forward indefinitely subject to limitation, except $2,660,000 which can be carried forward through 2037.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Due to significant changes in the Company’s ownership, the Company’s future use of its existing net operating losses may be limited.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December 31, 2024 and 2023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38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6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of income tax determined by applying the applicable statutory income tax rate of 27.6% for the years ended December 31, 2024 and 2023 to the loss before taxes as a result of the following differences: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(benefit) at statutory rate</w:t>
            </w: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(838,000)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tax impact of temporary differences between the amounts of assets and liabilities for financial reporting purposes and such amounts as measured by tax laws and regulations.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include the net tax effects of net operating loss (NOL) carryforwards and the temporary differences between the carrying amounts of assets and liabilities for financial reporting purposes and the amounts used for income tax purposes. As of December 31, 2024, and 2023 significant components of the Company’s deferred tax assets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(5,066,000)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(5,904,000)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returns for the previous three years remain open for audit by the respective tax jurisdictions.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MAJOR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43% and 48% of total sales in each of the years ended December 31, 2024 and 2023, respectively. In addition, Gate Gourmet, the leading global provider of airline catering solutions and provisioning services for airlines, in partnership with igourmet, represented 16% and 15% of total sales for the year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financial instruments, including cash, accounts payable and other liabilities, consist primarily of instruments without extended maturities, the fair value of which, based on management’s estimates, reasonably approximate their book value. The fair value of the Company’s stock options is determined using option pricing models.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adoption of ASC 815-40, the Company is required to disclose the fair value measurements required by ASC 820, “Fair Value Measurements and Disclosures.” Hierarchical levels, defined by ASC 820 are directly related to the amount of subjectivity associated with the inputs to fair valuations of these liabilities are as follows: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are unadjusted, quoted prices in active markets for identical assets or liabilities at the measurement date;</w:t>
      </w:r>
    </w:p>
    <w:p>
      <w:pPr>
        <w:spacing w:after="0" w:line="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Level 1 inputs that are either directly or indirectly observable; and</w:t>
      </w:r>
    </w:p>
    <w:p>
      <w:pPr>
        <w:spacing w:after="0" w:line="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which little or no market data exist, therefore requiring an entity to develop its own assumptions.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the fair value of the Smallwood SARs at each reporting period. At December 31, 2023, the Company did not have financial assets or liabilities that are required to be accounted for at fair value on a 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On January 13, 2025, the Company issued 24,026 shares of common stock pursuant to the cashless exercise of options held by an ex-employee to purchase 50,000 shares of common stock at a price of $1.00 per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Company the following shares of common stock to its executive officers pursuant to executive compensation plans: 530,665 shares were issued to its CEO; 133,632 shares were issued to its COO; and 73,735 shares were issued to its CFO. These shares were classified as shares to be issued on the Company’s balance sheet at December 31, 2024. See Note 17.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the fiscal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15d-(f) under the Exchange Act. Our internal control over financial reporting is designed to provide reasonable assurance regarding the reliability of financial reporting and the preparation of consolidated financial statements for external purposes in accordance with U.S. GAAP. Our internal control over financial reporting includes those policies and procedures that:</w:t>
      </w:r>
    </w:p>
    <w:p>
      <w:pPr>
        <w:spacing w:after="0" w:line="180" w:lineRule="exact"/>
        <w:rPr>
          <w:sz w:val="20"/>
          <w:szCs w:val="20"/>
          <w:color w:val="auto"/>
        </w:rPr>
      </w:pPr>
    </w:p>
    <w:p>
      <w:pPr>
        <w:ind w:left="380" w:hanging="318"/>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jc w:val="both"/>
        <w:ind w:left="380" w:hanging="318"/>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our consolidated financial statements in accordance with U.S. GAAP,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380" w:hanging="318"/>
        <w:spacing w:after="0" w:line="26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In making this assessment, management used the criteria set forth in Internal Control Over Financial Reporting — Guidance for Smaller Public Companies issued by the Committee of Sponsoring Organizations of the Treadway Commission (2013). Management concluded that the Company’s internal control over financial reporting as of December 31, 2024 is effective at the reasonable assurance level.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 Accordingly, our internal controls and procedures are designed to provide reasonable assurance of achieving their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no change in our internal control over financial reporting during the last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as we are not a large accelerated filer or an 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The information required by Part III is incorporated by reference to the Company’s proxy statement to be filed for the 2025 Annual Meeting.</w:t>
      </w:r>
    </w:p>
    <w:p>
      <w:pPr>
        <w:spacing w:after="0" w:line="3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2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114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December 31, 2004 filed with the Securities and Exchange Commission on September 28, 2005)</w:t>
              </w:r>
            </w:hyperlink>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Amended Bylaws of the Company (incorporated by reference to exhibit 3.2 of the Company’s annual report Form 10-K for the year ended</w:t>
              </w:r>
            </w:hyperlink>
          </w:p>
        </w:tc>
      </w:tr>
      <w:tr>
        <w:trPr>
          <w:trHeight w:val="196"/>
        </w:trPr>
        <w:tc>
          <w:tcPr>
            <w:tcW w:w="114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December 31, 2010 filed with the Securities and Exchange Commission on March 16, 2011)</w:t>
              </w:r>
            </w:hyperlink>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Amended Bylaws of the Company (incorporated by reference to exhibit 3.2 of the Company’s current report Form 8-K filed with the</w:t>
              </w:r>
            </w:hyperlink>
          </w:p>
        </w:tc>
      </w:tr>
      <w:tr>
        <w:trPr>
          <w:trHeight w:val="196"/>
        </w:trPr>
        <w:tc>
          <w:tcPr>
            <w:tcW w:w="1140" w:type="dxa"/>
            <w:vAlign w:val="bottom"/>
          </w:tcPr>
          <w:p>
            <w:pPr>
              <w:spacing w:after="0"/>
              <w:rPr>
                <w:sz w:val="17"/>
                <w:szCs w:val="17"/>
                <w:color w:val="auto"/>
              </w:rPr>
            </w:pPr>
          </w:p>
        </w:tc>
        <w:tc>
          <w:tcPr>
            <w:tcW w:w="4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Securities and Exchange Commission on January 23, 2018)</w:t>
              </w:r>
            </w:hyperlink>
          </w:p>
        </w:tc>
        <w:tc>
          <w:tcPr>
            <w:tcW w:w="5800" w:type="dxa"/>
            <w:vAlign w:val="bottom"/>
            <w:gridSpan w:val="6"/>
          </w:tcPr>
          <w:p>
            <w:pPr>
              <w:spacing w:after="0"/>
              <w:rPr>
                <w:sz w:val="17"/>
                <w:szCs w:val="17"/>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14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Securities and Exchange Commission on September 14, 2021)</w:t>
              </w:r>
            </w:hyperlink>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Description of Securities</w:t>
            </w:r>
          </w:p>
        </w:tc>
        <w:tc>
          <w:tcPr>
            <w:tcW w:w="2700" w:type="dxa"/>
            <w:vAlign w:val="bottom"/>
            <w:tcBorders>
              <w:top w:val="single" w:sz="8" w:color="0000EE"/>
            </w:tcBorders>
            <w:gridSpan w:val="2"/>
          </w:tcPr>
          <w:p>
            <w:pPr>
              <w:spacing w:after="0"/>
              <w:rPr>
                <w:sz w:val="24"/>
                <w:szCs w:val="24"/>
                <w:color w:val="auto"/>
              </w:rPr>
            </w:pPr>
          </w:p>
        </w:tc>
        <w:tc>
          <w:tcPr>
            <w:tcW w:w="5600" w:type="dxa"/>
            <w:vAlign w:val="bottom"/>
            <w:gridSpan w:val="5"/>
          </w:tcPr>
          <w:p>
            <w:pPr>
              <w:spacing w:after="0"/>
              <w:rPr>
                <w:sz w:val="24"/>
                <w:szCs w:val="24"/>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8"/>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Loan Sale Agreement dated as of January 10, 2018 between Food Funding, LLC, a subsidiary of the registrant and UPS Capital Business</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Credit (incorporated by reference to the Company’s Form 8-K filed with the Securities and Exchange Commission on January 30, 2018)</w:t>
              </w:r>
            </w:hyperlink>
          </w:p>
        </w:tc>
        <w:tc>
          <w:tcPr>
            <w:tcW w:w="20" w:type="dxa"/>
            <w:vAlign w:val="bottom"/>
          </w:tcPr>
          <w:p>
            <w:pPr>
              <w:spacing w:after="0"/>
              <w:rPr>
                <w:sz w:val="17"/>
                <w:szCs w:val="17"/>
                <w:color w:val="auto"/>
              </w:rPr>
            </w:pPr>
          </w:p>
        </w:tc>
      </w:tr>
      <w:tr>
        <w:trPr>
          <w:trHeight w:val="568"/>
        </w:trPr>
        <w:tc>
          <w:tcPr>
            <w:tcW w:w="1140" w:type="dxa"/>
            <w:vAlign w:val="bottom"/>
            <w:tcBorders>
              <w:bottom w:val="single" w:sz="8" w:color="auto"/>
            </w:tcBorders>
          </w:tcPr>
          <w:p>
            <w:pPr>
              <w:spacing w:after="0"/>
              <w:rPr>
                <w:sz w:val="24"/>
                <w:szCs w:val="24"/>
                <w:color w:val="auto"/>
              </w:rPr>
            </w:pPr>
          </w:p>
        </w:tc>
        <w:tc>
          <w:tcPr>
            <w:tcW w:w="6660" w:type="dxa"/>
            <w:vAlign w:val="bottom"/>
            <w:tcBorders>
              <w:top w:val="single" w:sz="8" w:color="0000EE"/>
              <w:bottom w:val="single" w:sz="8" w:color="auto"/>
            </w:tcBorders>
            <w:gridSpan w:val="4"/>
          </w:tcPr>
          <w:p>
            <w:pPr>
              <w:ind w:left="440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top w:val="single" w:sz="8" w:color="0000EE"/>
              <w:bottom w:val="single" w:sz="8" w:color="auto"/>
            </w:tcBorders>
          </w:tcPr>
          <w:p>
            <w:pPr>
              <w:spacing w:after="0"/>
              <w:rPr>
                <w:sz w:val="24"/>
                <w:szCs w:val="24"/>
                <w:color w:val="auto"/>
              </w:rPr>
            </w:pPr>
          </w:p>
        </w:tc>
        <w:tc>
          <w:tcPr>
            <w:tcW w:w="28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Fifth Amendment to Restated Loan Agreement dated February 28, 2018 between Fifth Third Bank and the registrant and its subsidiaries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(incorporated by reference to the Company’s Form 10-K filed with the Securities and Exchange Commission on March 29, 2018).</w:t>
              </w:r>
            </w:hyperlink>
          </w:p>
        </w:tc>
        <w:tc>
          <w:tcPr>
            <w:tcW w:w="720" w:type="dxa"/>
            <w:vAlign w:val="bottom"/>
            <w:gridSpan w:val="2"/>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Promissory Note of the registrant and its subsidiaries in favor of Fifth Third Bank dated as of February 28, 2018 (incorporated by reference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to the Company’s Form 10-K filed with the Securities and Exchange Commission on March 29, 2018).</w:t>
              </w:r>
            </w:hyperlink>
          </w:p>
        </w:tc>
        <w:tc>
          <w:tcPr>
            <w:tcW w:w="2680" w:type="dxa"/>
            <w:vAlign w:val="bottom"/>
            <w:gridSpan w:val="6"/>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10080" w:type="dxa"/>
            <w:vAlign w:val="bottom"/>
            <w:gridSpan w:val="14"/>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Draw Promissory Note of the registrant and its subsidiaries in favor of Fifth Third Bank dated as of March 13, 2018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reference to the Company’s Form 10-K filed with the Securities and Exchange Commission on March 29, 2018).</w:t>
              </w:r>
            </w:hyperlink>
          </w:p>
        </w:tc>
        <w:tc>
          <w:tcPr>
            <w:tcW w:w="19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Master Loan and Security Agreement dated March 13, 2018 between Fifth Third Bank and the registrant and its subsidiaries (incorporated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by reference to the Company’s Form 10-K filed with the Securities and Exchange Commission on March 29, 2018).</w:t>
              </w:r>
            </w:hyperlink>
          </w:p>
        </w:tc>
        <w:tc>
          <w:tcPr>
            <w:tcW w:w="1740" w:type="dxa"/>
            <w:vAlign w:val="bottom"/>
            <w:gridSpan w:val="4"/>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Director Agreement dated as of January 28, 2019 (incorporated by reference to the Company’s Form 8-K filed with the Securities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and Exchange Commission on February 1, 2019)</w:t>
              </w:r>
            </w:hyperlink>
          </w:p>
        </w:tc>
        <w:tc>
          <w:tcPr>
            <w:tcW w:w="6560" w:type="dxa"/>
            <w:vAlign w:val="bottom"/>
            <w:gridSpan w:val="10"/>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Eighth Amendment to Restated Loan Agreement dated as of November 9, 2019 between Fifth Third Bank, National Association, and the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Registrant and certain of its subsidiaries (incorporated by reference to the Company’s Form 10-Q filed with the Securities and Exchange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Commission on November 14, 2019).</w:t>
              </w:r>
            </w:hyperlink>
          </w:p>
        </w:tc>
        <w:tc>
          <w:tcPr>
            <w:tcW w:w="7360" w:type="dxa"/>
            <w:vAlign w:val="bottom"/>
            <w:gridSpan w:val="11"/>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tcPr>
          <w:p>
            <w:pPr>
              <w:spacing w:after="0"/>
              <w:rPr>
                <w:sz w:val="24"/>
                <w:szCs w:val="24"/>
                <w:color w:val="auto"/>
              </w:rPr>
            </w:pPr>
          </w:p>
        </w:tc>
        <w:tc>
          <w:tcPr>
            <w:tcW w:w="10080" w:type="dxa"/>
            <w:vAlign w:val="bottom"/>
            <w:gridSpan w:val="14"/>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Promissory Note effective November 9, 2019 between Fifth Third Bank, National Association, and Innovative Food Properties, LLC, a</w:t>
              </w:r>
            </w:hyperlink>
          </w:p>
        </w:tc>
      </w:tr>
      <w:tr>
        <w:trPr>
          <w:trHeight w:val="20"/>
        </w:trPr>
        <w:tc>
          <w:tcPr>
            <w:tcW w:w="4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wholly-owned subsidiary of the Registrant (incorporated by reference to the Company’s Form 10-Q filed with the Securities and Exchange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Commission on November 14, 2019).</w:t>
              </w:r>
            </w:hyperlink>
          </w:p>
        </w:tc>
      </w:tr>
      <w:tr>
        <w:trPr>
          <w:trHeight w:val="20"/>
        </w:trPr>
        <w:tc>
          <w:tcPr>
            <w:tcW w:w="4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Mortgage, Assignment of Leases, Fixture Filing and Security Agreement date as of November 9, 2019 between Fifth Third Bank, National</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Association, and Innovative Food Properties, LLC, a wholly-owned subsidiary of the Registrant (incorporated by reference to the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Company’s Form 10-Q filed with the Securities and Exchange Commission on November 14, 2019).</w:t>
              </w:r>
            </w:hyperlink>
          </w:p>
        </w:tc>
        <w:tc>
          <w:tcPr>
            <w:tcW w:w="2840" w:type="dxa"/>
            <w:vAlign w:val="bottom"/>
            <w:gridSpan w:val="7"/>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10.10</w:t>
            </w:r>
          </w:p>
        </w:tc>
        <w:tc>
          <w:tcPr>
            <w:tcW w:w="740" w:type="dxa"/>
            <w:vAlign w:val="bottom"/>
          </w:tcPr>
          <w:p>
            <w:pPr>
              <w:spacing w:after="0"/>
              <w:rPr>
                <w:sz w:val="24"/>
                <w:szCs w:val="24"/>
                <w:color w:val="auto"/>
              </w:rPr>
            </w:pPr>
          </w:p>
        </w:tc>
        <w:tc>
          <w:tcPr>
            <w:tcW w:w="10080" w:type="dxa"/>
            <w:vAlign w:val="bottom"/>
            <w:gridSpan w:val="14"/>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Agreement for Purchase and Sale of Real Estate dated as of August 9, 2019 (incorporated by reference to the Company’s Form 10-Q filed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with the Securities and Exchange Commission on August 14, 2019).</w:t>
              </w:r>
            </w:hyperlink>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10.11</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Securities Purchase Agreement dated August 26, 2021 between the Company and each of JCP Investment Partnership LP, Bandera Master</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Fund L.P. and SV Asset Management LLC. *(incorporated by reference to the Company’s Form 8-K filed with the Securities and Exchange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Commission on August 31, 2021).</w:t>
              </w:r>
            </w:hyperlink>
          </w:p>
        </w:tc>
      </w:tr>
      <w:tr>
        <w:trPr>
          <w:trHeight w:val="20"/>
        </w:trPr>
        <w:tc>
          <w:tcPr>
            <w:tcW w:w="4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10.12</w:t>
            </w:r>
          </w:p>
        </w:tc>
        <w:tc>
          <w:tcPr>
            <w:tcW w:w="740" w:type="dxa"/>
            <w:vAlign w:val="bottom"/>
          </w:tcPr>
          <w:p>
            <w:pPr>
              <w:spacing w:after="0"/>
              <w:rPr>
                <w:sz w:val="24"/>
                <w:szCs w:val="24"/>
                <w:color w:val="auto"/>
              </w:rPr>
            </w:pPr>
          </w:p>
        </w:tc>
        <w:tc>
          <w:tcPr>
            <w:tcW w:w="10080" w:type="dxa"/>
            <w:vAlign w:val="bottom"/>
            <w:gridSpan w:val="14"/>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Loan Agreement dated as of June 6, 2022 between the Registrant, Innovative Food Properties, LLC and MapleMark Bank (FL, IL)</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by reference to the Company’s Form 8-K filed with the Securities and Exchange Commission on June 14, 2022).</w:t>
              </w:r>
            </w:hyperlink>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420" w:type="dxa"/>
            <w:vAlign w:val="bottom"/>
            <w:gridSpan w:val="6"/>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10.13</w:t>
            </w:r>
          </w:p>
        </w:tc>
        <w:tc>
          <w:tcPr>
            <w:tcW w:w="740" w:type="dxa"/>
            <w:vAlign w:val="bottom"/>
          </w:tcPr>
          <w:p>
            <w:pPr>
              <w:spacing w:after="0"/>
              <w:rPr>
                <w:sz w:val="24"/>
                <w:szCs w:val="24"/>
                <w:color w:val="auto"/>
              </w:rPr>
            </w:pPr>
          </w:p>
        </w:tc>
        <w:tc>
          <w:tcPr>
            <w:tcW w:w="10080" w:type="dxa"/>
            <w:vAlign w:val="bottom"/>
            <w:gridSpan w:val="14"/>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Loan Agreement dated as of June 6, 2022 between the Registrant, Innovative Food Properties, LLC and MapleMark Bank (PA)</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(incorporated by reference to the Company’s Form 8-K filed with the Securities and Exchange Commission on June 14, 2022).</w:t>
              </w:r>
            </w:hyperlink>
          </w:p>
        </w:tc>
        <w:tc>
          <w:tcPr>
            <w:tcW w:w="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420" w:type="dxa"/>
            <w:vAlign w:val="bottom"/>
            <w:gridSpan w:val="6"/>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10.14</w:t>
            </w:r>
          </w:p>
        </w:tc>
        <w:tc>
          <w:tcPr>
            <w:tcW w:w="740" w:type="dxa"/>
            <w:vAlign w:val="bottom"/>
          </w:tcPr>
          <w:p>
            <w:pPr>
              <w:spacing w:after="0"/>
              <w:rPr>
                <w:sz w:val="24"/>
                <w:szCs w:val="24"/>
                <w:color w:val="auto"/>
              </w:rPr>
            </w:pP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Loan Agreement dated as of June 6, 2022 between the Registrant and MapleMark Bank (incorporated by reference to the Company’s Form</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8-K filed with the Securities and Exchange Commission on June 14, 2022).</w:t>
              </w:r>
            </w:hyperlink>
          </w:p>
        </w:tc>
      </w:tr>
      <w:tr>
        <w:trPr>
          <w:trHeight w:val="568"/>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900" w:type="dxa"/>
            <w:vAlign w:val="bottom"/>
            <w:tcBorders>
              <w:top w:val="single" w:sz="8" w:color="0000EE"/>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Borders>
              <w:top w:val="single" w:sz="8" w:color="0000EE"/>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10.15</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Board Observer Agreement dated as of November 28, 2022 between the Registrant and Denver J. Smith (incorporated by reference to the</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Company’s Form 8-K filed with the Securities and Exchange Commission on November 29, 2022).</w:t>
              </w:r>
            </w:hyperlink>
          </w:p>
        </w:tc>
        <w:tc>
          <w:tcPr>
            <w:tcW w:w="2940" w:type="dxa"/>
            <w:vAlign w:val="bottom"/>
            <w:gridSpan w:val="7"/>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10.16</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Employment Agreement with Robert William Bennett dated as of February 3, 2023 (incorporated by reference to the Company’s Form 8-K</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filed with the Securities and Exchange Commission on February 7, 2023)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10.17</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First Amendment to the Employment Agreement with Robert William Bennett dated as of November 3, 2023 (incorporated by reference to</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the Company’s Form 8-K filed with the Securities and Exchange Commission on November 9, 2023)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10.18</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Agreement with Brady Smallwood dated as of April 14, 2023 (incorporated by reference to the Company’s Form 8-K filed</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with the Securities and Exchange Commission on May 17, 2023)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10.19</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Non-Plan Stock-Appreciation Right Award Grant Notice and Award Agreement with Brady Smallwood dated as of July 7, 2023</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(incorporated by reference to the Company’s Form 8-K filed with the Securities and Exchange Commission on July 12, 2023)</w:t>
              </w:r>
            </w:hyperlink>
          </w:p>
        </w:tc>
        <w:tc>
          <w:tcPr>
            <w:tcW w:w="1040" w:type="dxa"/>
            <w:vAlign w:val="bottom"/>
            <w:gridSpan w:val="4"/>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10.20</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Employment Agreement with Gary Schubert dated as of December 29, 2023 (incorporated by reference to the Company’s Form 8-K filed</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with the Securities and Exchange Commission on January 3, 2024)</w:t>
              </w:r>
            </w:hyperlink>
          </w:p>
        </w:tc>
        <w:tc>
          <w:tcPr>
            <w:tcW w:w="5280" w:type="dxa"/>
            <w:vAlign w:val="bottom"/>
            <w:gridSpan w:val="10"/>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10.21</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Asset Purchase Agreement, dated August 30, 2024, between Innovative Gourmet LLC, iGourmet LLC and</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Advansiv Gourmet Group, Inc. (incorporated by reference to the Company’s Form 8-K filed with the Securities and Exchange Commission</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on September 4, 2024)</w:t>
              </w:r>
            </w:hyperlink>
          </w:p>
        </w:tc>
        <w:tc>
          <w:tcPr>
            <w:tcW w:w="8460" w:type="dxa"/>
            <w:vAlign w:val="bottom"/>
            <w:gridSpan w:val="12"/>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10.22</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Transition Services Agreement, dated August 30, 2024, between Innovative Gourmet LLC, iGourmet LLC and Advansiv Gourmet Group,</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Inc. (incorporated by reference to the Company’s Form 8-K filed with the Securities and Exchange Commission on September 4, 2024)</w:t>
              </w:r>
            </w:hyperlink>
          </w:p>
        </w:tc>
        <w:tc>
          <w:tcPr>
            <w:tcW w:w="340" w:type="dxa"/>
            <w:vAlign w:val="bottom"/>
            <w:gridSpan w:val="3"/>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10.23</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Asset Purchase Agreement, dated October 14, 2024, by and among Innovative Food Holdings, Inc., Golden Organics, Inc. and David</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Rickard (incorporated by reference to the Company’s Form 8-K filed with the Securities and Exchange Commission on October 18, 2024)</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460" w:type="dxa"/>
            <w:vAlign w:val="bottom"/>
            <w:gridSpan w:val="5"/>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10.24</w:t>
            </w:r>
          </w:p>
        </w:tc>
        <w:tc>
          <w:tcPr>
            <w:tcW w:w="72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Seller Financing Note (incorporated by reference to the Company’s Form 8-K filed with the Securities and Exchange Commission</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on October 18, 2024)</w:t>
              </w:r>
            </w:hyperlink>
          </w:p>
        </w:tc>
        <w:tc>
          <w:tcPr>
            <w:tcW w:w="854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10.25</w:t>
            </w:r>
          </w:p>
        </w:tc>
        <w:tc>
          <w:tcPr>
            <w:tcW w:w="720" w:type="dxa"/>
            <w:vAlign w:val="bottom"/>
          </w:tcPr>
          <w:p>
            <w:pPr>
              <w:spacing w:after="0"/>
              <w:rPr>
                <w:sz w:val="24"/>
                <w:szCs w:val="24"/>
                <w:color w:val="auto"/>
              </w:rPr>
            </w:pPr>
          </w:p>
        </w:tc>
        <w:tc>
          <w:tcPr>
            <w:tcW w:w="10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Purchase Agreement by and between the Company and Gulf Coast Aluminum, dated December 12, 2023 (incorporated by reference to the</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Company’s Form 8-K filed with the Securities and Exchange Commission on February 16, 2024)</w:t>
              </w:r>
            </w:hyperlink>
          </w:p>
        </w:tc>
        <w:tc>
          <w:tcPr>
            <w:tcW w:w="3100" w:type="dxa"/>
            <w:vAlign w:val="bottom"/>
            <w:gridSpan w:val="8"/>
          </w:tcPr>
          <w:p>
            <w:pPr>
              <w:spacing w:after="0"/>
              <w:rPr>
                <w:sz w:val="17"/>
                <w:szCs w:val="17"/>
                <w:color w:val="auto"/>
              </w:rPr>
            </w:pPr>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10.26</w:t>
            </w:r>
          </w:p>
        </w:tc>
        <w:tc>
          <w:tcPr>
            <w:tcW w:w="72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Asset Purchase Agreement by and between M Innovations LLC and M Specialty Foods Inc., dated October 31, 2024.</w:t>
            </w:r>
          </w:p>
        </w:tc>
      </w:tr>
      <w:tr>
        <w:trPr>
          <w:trHeight w:val="568"/>
        </w:trPr>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gridSpan w:val="3"/>
          </w:tcPr>
          <w:p>
            <w:pPr>
              <w:ind w:left="440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Index</w:t>
            </w:r>
          </w:p>
        </w:tc>
        <w:tc>
          <w:tcPr>
            <w:tcW w:w="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60" w:type="dxa"/>
            <w:vAlign w:val="bottom"/>
          </w:tcPr>
          <w:p>
            <w:pPr>
              <w:spacing w:after="0"/>
              <w:rPr>
                <w:sz w:val="17"/>
                <w:szCs w:val="17"/>
                <w:color w:val="auto"/>
              </w:rPr>
            </w:pPr>
          </w:p>
        </w:tc>
      </w:tr>
      <w:tr>
        <w:trPr>
          <w:trHeight w:val="52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720" w:type="dxa"/>
            <w:vAlign w:val="bottom"/>
          </w:tcPr>
          <w:p>
            <w:pPr>
              <w:spacing w:after="0"/>
              <w:rPr>
                <w:sz w:val="24"/>
                <w:szCs w:val="24"/>
                <w:color w:val="auto"/>
              </w:rPr>
            </w:pPr>
          </w:p>
        </w:tc>
        <w:tc>
          <w:tcPr>
            <w:tcW w:w="100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Code of Ethical Conduct (incorporated by reference to exhibit 14.1 of the Company’s Form 8-K filed with the Securities and Exchange</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gridSpan w:val="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Commission on July 12, 2023)</w:t>
              </w:r>
            </w:hyperlink>
          </w:p>
        </w:tc>
      </w:tr>
      <w:tr>
        <w:trPr>
          <w:trHeight w:val="41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720" w:type="dxa"/>
            <w:vAlign w:val="bottom"/>
          </w:tcPr>
          <w:p>
            <w:pPr>
              <w:spacing w:after="0"/>
              <w:rPr>
                <w:sz w:val="24"/>
                <w:szCs w:val="24"/>
                <w:color w:val="auto"/>
              </w:rPr>
            </w:pPr>
          </w:p>
        </w:tc>
        <w:tc>
          <w:tcPr>
            <w:tcW w:w="1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600" w:type="dxa"/>
            <w:vAlign w:val="bottom"/>
            <w:tcBorders>
              <w:top w:val="single" w:sz="8" w:color="0000EE"/>
            </w:tcBorders>
          </w:tcPr>
          <w:p>
            <w:pPr>
              <w:spacing w:after="0"/>
              <w:rPr>
                <w:sz w:val="24"/>
                <w:szCs w:val="24"/>
                <w:color w:val="auto"/>
              </w:rPr>
            </w:pPr>
          </w:p>
        </w:tc>
        <w:tc>
          <w:tcPr>
            <w:tcW w:w="7860" w:type="dxa"/>
            <w:vAlign w:val="bottom"/>
          </w:tcPr>
          <w:p>
            <w:pPr>
              <w:spacing w:after="0"/>
              <w:rPr>
                <w:sz w:val="24"/>
                <w:szCs w:val="24"/>
                <w:color w:val="auto"/>
              </w:rPr>
            </w:pPr>
          </w:p>
        </w:tc>
      </w:tr>
    </w:tbl>
    <w:p>
      <w:pPr>
        <w:spacing w:after="0" w:line="225" w:lineRule="exact"/>
        <w:rPr>
          <w:sz w:val="20"/>
          <w:szCs w:val="20"/>
          <w:color w:val="auto"/>
        </w:rPr>
      </w:pPr>
    </w:p>
    <w:p>
      <w:pPr>
        <w:ind w:left="1140" w:hanging="112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r>
      <w:tr>
        <w:trPr>
          <w:trHeight w:val="20"/>
        </w:trPr>
        <w:tc>
          <w:tcPr>
            <w:tcW w:w="11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Rule 13a-14(a) Certification of Principal Accounting Officer</w:t>
            </w: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Rule 1350 Certification of Chief Executive Officer</w:t>
            </w:r>
          </w:p>
        </w:tc>
        <w:tc>
          <w:tcPr>
            <w:tcW w:w="700" w:type="dxa"/>
            <w:vAlign w:val="bottom"/>
            <w:gridSpan w:val="3"/>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Rule 1350 Certification of Principal Accounting Officer</w:t>
            </w: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0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Compensation Recovery Policy</w:t>
            </w:r>
          </w:p>
        </w:tc>
        <w:tc>
          <w:tcPr>
            <w:tcW w:w="3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1140" w:hanging="1128"/>
        <w:spacing w:after="0"/>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3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have been omitted pursuant to Item 601(a)(5) of Regulation S-K under the Securities Act. The Company agrees to furnish supplementally any omitted schedules to the Securities and Exchange Commission upon request.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Robert William Bennett</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256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20,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spacing w:after="0"/>
              <w:rPr>
                <w:sz w:val="20"/>
                <w:szCs w:val="20"/>
                <w:color w:val="auto"/>
              </w:rPr>
            </w:pPr>
          </w:p>
        </w:tc>
        <w:tc>
          <w:tcPr>
            <w:tcW w:w="3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6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William Bennett</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30"/>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William Bennett</w:t>
            </w:r>
          </w:p>
        </w:tc>
        <w:tc>
          <w:tcPr>
            <w:tcW w:w="560" w:type="dxa"/>
            <w:vAlign w:val="bottom"/>
          </w:tcPr>
          <w:p>
            <w:pPr>
              <w:spacing w:after="0"/>
              <w:rPr>
                <w:sz w:val="19"/>
                <w:szCs w:val="19"/>
                <w:color w:val="auto"/>
              </w:rPr>
            </w:pPr>
          </w:p>
        </w:tc>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30"/>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Gary Schubert</w:t>
            </w:r>
          </w:p>
        </w:tc>
        <w:tc>
          <w:tcPr>
            <w:tcW w:w="560" w:type="dxa"/>
            <w:vAlign w:val="bottom"/>
          </w:tcPr>
          <w:p>
            <w:pPr>
              <w:spacing w:after="0"/>
              <w:rPr>
                <w:sz w:val="19"/>
                <w:szCs w:val="19"/>
                <w:color w:val="auto"/>
              </w:rPr>
            </w:pPr>
          </w:p>
        </w:tc>
        <w:tc>
          <w:tcPr>
            <w:tcW w:w="3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Hank Cohn</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Hank Cohn</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Jefferson Gramm</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Jefferson Gramm</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C. Pappas</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C. Pappas</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Brady Smallwood</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Brady Smallwood</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Schmulen</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Schmulen</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Sam Klepfish</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 Klepfish</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Denver J. Smith</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Denver J. Smith</w:t>
            </w:r>
          </w:p>
        </w:tc>
        <w:tc>
          <w:tcPr>
            <w:tcW w:w="560" w:type="dxa"/>
            <w:vAlign w:val="bottom"/>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r>
      <w:tr>
        <w:trPr>
          <w:trHeight w:val="529"/>
        </w:trPr>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certain material terms and provisions of our capital stock and also summarizes relevant provisions of Florida law. The following summary does not purport to be complete and is subject to, and is qualified in its entirety by reference to, the applicable provisions of Florida law and our articles of incorporation and our bylaws, copies of which are incorporated by reference as exhibits to this Annual Report on Form 10-K of which this Exhibit 4.1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Capital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Innovative Food Holdings, Inc., a Florida corporation (“we,” or the “Company”), has authorized common stock consisting of 500,000,000 shares of common stock, $0.0001 par value, and 10,000,000 shares of preferred stock, $0.0001 par value. As of March 17, 2025, there were a total of 53,986,793 shares of the Company’s common stock outstanding, all of which are fully paid and nonassessable, and no shares of outstanding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quoted on OTCQB under the symbol “IVFH.”</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to be voted on by shareholders. There is no cumulative voting with respect to the election of directors.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when, as and if declared by the Board of Directors of the Company (the “Board”) out of funds legally available therefor. In the event of liquidation, dissolution or winding up of the Company, the holders of common stock are entitled to share ratably in all assets remaining which are available for distribution to them after payment of liabilities and after provision has been made for each class of stock, if any, having preference over the common stock. The holders of our common stock have no preemptive, subscription, redemption or conversion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our Articles of Incorporation and Bylaws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our Amended Bylaws contain certain provisions that are intended to enhance the likelihood of continuity and stability in the composition of the Board and which may have the effect of delaying, deferring or preventing a future takeover or change in control of the Company unless such takeover or change in control is approved by the Board. In particular, the Articles of Incorporation and Amended Bylaws, as applicable, among other things:</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ability to alter its bylaws without shareholder approval;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in office, although less than a quorum.</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Such provisions may have the effect of discouraging a third-party from acquiring us, even if doing so would be beneficial to our shareholders. These provisions are intended to enhance the likelihood of continuity and stability in the composition of our board of directors and in the policies formulated by them, and to discourage some types of transactions that may involve an actual or threatened change in control of our Company. These provisions are designed to reduce our vulnerability to an unsolicited acquisition proposal and to discourage some tactics that may be used in proxy fights. We believe that the benefits of increased protection of our potential ability to negotiate with the proponent of an unfriendly or unsolicited proposal to acquire or restructure our company outweigh the disadvantages of discouraging such proposals because, among other things, negotiation of such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607.0901 of the Florida Statutes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Section 607.0901 of the Florida Statutes. In general, Section 607.0901 regulates certain transactions between a corporation and an “interested shareholder,” one who beneficially owns more than ten percent of the corporation’s outstanding voting shares. The statute provides significant protection to minority shareholders by assuring that the transactions covered by the statute are either (a) procedurally fair (i.e., the transaction is approved by disinterested directors or disinterested shareholders) or (b) substantively fair (i.e., result in a fair price to the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607.0902 of the Florida Statutes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Section 607.0902 of the Florida Statutes. In general, Section 607.0902 focuses on the acquisition of “control shares” in an issuing public corporation. When control shares are acquired in a “control share acquisition,” the shares do not have voting rights. Voting rights may be restored only if the bidder files an acquiring person statement and requests a shareholder meeting to vote on whether the bidder’s shares should be accorded voting rights. Voting rights are restored only to the extent approved by the disinterested shareholders (which excludes both the bidder and management shareholders). Alternatively, the bidder’s shares will have voting rights if the acquisition is approved by the target company’s board of directors. As a result, mergers or other takeover or change in control attempts of us may be discouraged or prevented.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October 31, 2024 between M Innovations, LLC, a Delaware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M Specialty Foods, Inc., a New York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I.1. Purchase and Sale of Assets. </w:t>
      </w:r>
      <w:r>
        <w:rPr>
          <w:rFonts w:ascii="Times New Roman" w:cs="Times New Roman" w:eastAsia="Times New Roman" w:hAnsi="Times New Roman"/>
          <w:sz w:val="18"/>
          <w:szCs w:val="18"/>
          <w:color w:val="auto"/>
        </w:rPr>
        <w:t>Upon the terms and subject to the conditions set forth in this Agreement, Seller hereby sells,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conveys, and delivers to Buyer the following acquired assets:</w:t>
      </w:r>
    </w:p>
    <w:p>
      <w:pPr>
        <w:spacing w:after="0" w:line="155" w:lineRule="exact"/>
        <w:rPr>
          <w:sz w:val="20"/>
          <w:szCs w:val="20"/>
          <w:color w:val="auto"/>
        </w:rPr>
      </w:pPr>
    </w:p>
    <w:p>
      <w:pPr>
        <w:ind w:left="980" w:right="20" w:hanging="324"/>
        <w:spacing w:after="0" w:line="28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Mouth trademark</w:t>
      </w:r>
      <w:r>
        <w:rPr>
          <w:rFonts w:ascii="Times New Roman" w:cs="Times New Roman" w:eastAsia="Times New Roman" w:hAnsi="Times New Roman"/>
          <w:sz w:val="18"/>
          <w:szCs w:val="18"/>
          <w:color w:val="auto"/>
        </w:rPr>
        <w:t>: All rights, title, and interest in and to the Mouth trademark, including any associated goodwill, free and clear of any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or encumbrances.</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GoDaddy domain</w:t>
      </w:r>
      <w:r>
        <w:rPr>
          <w:rFonts w:ascii="Times New Roman" w:cs="Times New Roman" w:eastAsia="Times New Roman" w:hAnsi="Times New Roman"/>
          <w:sz w:val="18"/>
          <w:szCs w:val="18"/>
          <w:color w:val="auto"/>
        </w:rPr>
        <w:t>: All rights, title, and interest in and to the GoDaddy domain ‘mouth.com,’ including any hosting rights, certificates,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associated digital assets.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Shopify site</w:t>
      </w:r>
      <w:r>
        <w:rPr>
          <w:rFonts w:ascii="Times New Roman" w:cs="Times New Roman" w:eastAsia="Times New Roman" w:hAnsi="Times New Roman"/>
          <w:sz w:val="18"/>
          <w:szCs w:val="18"/>
          <w:color w:val="auto"/>
        </w:rPr>
        <w:t>: All rights, title, and interest in and to the Shopify e-commerce site, including all customer data, order histories, supplier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and integrations, without any liens or encumbrances.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Creative and Marketing assets: </w:t>
      </w:r>
      <w:r>
        <w:rPr>
          <w:rFonts w:ascii="Times New Roman" w:cs="Times New Roman" w:eastAsia="Times New Roman" w:hAnsi="Times New Roman"/>
          <w:sz w:val="18"/>
          <w:szCs w:val="18"/>
          <w:color w:val="auto"/>
        </w:rPr>
        <w:t>All rights, title, and interest in creative and marketing assets related to the products or services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This includes, but is not limited to, logos, trademarks, advertising materials, promotional content, digital files, social media assets, and any other marketing or branding assets that have been developed or used in connection with the business since 2021 which can be located through reasonable effort by Seller.</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I.2. Assumption of Liabilities. </w:t>
      </w:r>
      <w:r>
        <w:rPr>
          <w:rFonts w:ascii="Times New Roman" w:cs="Times New Roman" w:eastAsia="Times New Roman" w:hAnsi="Times New Roman"/>
          <w:sz w:val="18"/>
          <w:szCs w:val="18"/>
          <w:color w:val="auto"/>
        </w:rPr>
        <w:t>On and subject to the terms and conditions of this Agreement, Buyer agrees to assume and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the following liabilities:</w:t>
      </w:r>
    </w:p>
    <w:p>
      <w:pPr>
        <w:spacing w:after="0" w:line="155" w:lineRule="exact"/>
        <w:rPr>
          <w:sz w:val="20"/>
          <w:szCs w:val="20"/>
          <w:color w:val="auto"/>
        </w:rPr>
      </w:pPr>
    </w:p>
    <w:p>
      <w:pPr>
        <w:jc w:val="both"/>
        <w:ind w:left="980" w:hanging="324"/>
        <w:spacing w:after="0" w:line="26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Gift Cards</w:t>
      </w:r>
      <w:r>
        <w:rPr>
          <w:rFonts w:ascii="Times New Roman" w:cs="Times New Roman" w:eastAsia="Times New Roman" w:hAnsi="Times New Roman"/>
          <w:sz w:val="18"/>
          <w:szCs w:val="18"/>
          <w:color w:val="auto"/>
        </w:rPr>
        <w:t>: Buyer shall assume responsibility for all outstanding gift card liabilities as of the Closing Date. Buyer agrees to honor and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gift cards in compliance with all applicable federal and state laws governing gift card redemption, expiration, and escheatment. Seller shall provide Buyer with a complete list of all outstanding gift cards, balances, and other relevant details, which shall be attached as Appendix A to this Agreement.</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Website Operation and Liabilities: </w:t>
      </w:r>
      <w:r>
        <w:rPr>
          <w:rFonts w:ascii="Times New Roman" w:cs="Times New Roman" w:eastAsia="Times New Roman" w:hAnsi="Times New Roman"/>
          <w:sz w:val="18"/>
          <w:szCs w:val="18"/>
          <w:color w:val="auto"/>
        </w:rPr>
        <w:t>Buyer shall assume all liabilities, responsibilities, and risks associated with the operation,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content of the Shopify website after the Closing Date, including any and all creative or development work conducted prior to Closing. This includes, but is not limited to, liabilities arising from any third-party claims, regulatory violations, or legal complaints, such as any future claims or lawsuits related to the Americans with Disabilities Act (ADA) or other applicable laws resulting from development work done prior to the Closing.</w:t>
      </w:r>
    </w:p>
    <w:p>
      <w:pPr>
        <w:spacing w:after="0" w:line="1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I.3. Retained Liabilities. </w:t>
      </w:r>
      <w:r>
        <w:rPr>
          <w:rFonts w:ascii="Times New Roman" w:cs="Times New Roman" w:eastAsia="Times New Roman" w:hAnsi="Times New Roman"/>
          <w:sz w:val="18"/>
          <w:szCs w:val="18"/>
          <w:color w:val="auto"/>
        </w:rPr>
        <w:t>Seller shall maintain sole responsibility of, and solely shall retain, pay, and perform any Liabilities arising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relating to the operation of Seller’s business prior to the Closing.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I.4. Purchase Consideration.</w:t>
      </w:r>
    </w:p>
    <w:p>
      <w:pPr>
        <w:spacing w:after="0" w:line="229" w:lineRule="exact"/>
        <w:rPr>
          <w:sz w:val="20"/>
          <w:szCs w:val="20"/>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payment, Buyer agrees to assume the gift card liability after Closing as recorded in Appendix A. Buyer further acknowledges and accepts full responsibility for any costs or expenses arising from the redemption or servicing of these gift cards after Closing. Seller shall bear no responsibility for any future financial obligations related to the gift cards.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I.5. Transaction Costs. </w:t>
      </w:r>
      <w:r>
        <w:rPr>
          <w:rFonts w:ascii="Times New Roman" w:cs="Times New Roman" w:eastAsia="Times New Roman" w:hAnsi="Times New Roman"/>
          <w:sz w:val="18"/>
          <w:szCs w:val="18"/>
          <w:color w:val="auto"/>
        </w:rPr>
        <w:t>Buyer agrees to be solely responsible for and bear any and all of Seller’s costs related to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including, but not limited to:</w:t>
      </w:r>
    </w:p>
    <w:p>
      <w:pPr>
        <w:spacing w:after="0" w:line="159"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registration and transfer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logistics costs for any merchandise purchased by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formally filing this Agreement or any other necessary documentation with relevant governmental organizations or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fees, costs, or expenses incurred in connection with the execution, implementation, or closing of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Seller will not bear any of Buyer’s financial responsibility for the costs of these transactions unless expressly stated otherwise in this Agreement. Seller will receive written approval from buyer before agreeing to any expense, that would need to be paid or reimbursed by Buyer, that is individually over $500. If total transaction costs exceed $10,000, or are projected to exceed $10,000, then Buyer may choose, in writing, to reject the expense, which would immediately terminate this Agreement. For the avoidance of doubt, transaction costs do not include operating expenses (e.g. Shopify fees, shipping costs, digital marketing and related accounts, etc.) or procurement costs.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I.6. Closing. </w:t>
      </w:r>
      <w:r>
        <w:rPr>
          <w:rFonts w:ascii="Times New Roman" w:cs="Times New Roman" w:eastAsia="Times New Roman" w:hAnsi="Times New Roman"/>
          <w:sz w:val="18"/>
          <w:szCs w:val="18"/>
          <w:color w:val="auto"/>
        </w:rPr>
        <w:t>The closing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by the remote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copies of documents and signatures on a date as the parties may mutually agree, no later than 7 calendar days after executing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I.7. Closing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Closing, Seller shall deliver or cause to be delivered to Buyer the following:</w:t>
      </w:r>
    </w:p>
    <w:p>
      <w:pPr>
        <w:spacing w:after="0" w:line="221" w:lineRule="exact"/>
        <w:rPr>
          <w:sz w:val="20"/>
          <w:szCs w:val="20"/>
          <w:color w:val="auto"/>
        </w:rPr>
      </w:pPr>
    </w:p>
    <w:p>
      <w:pPr>
        <w:jc w:val="both"/>
        <w:ind w:left="980" w:hanging="324"/>
        <w:spacing w:after="0" w:line="268"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Ownership transfer of mouth.com domain</w:t>
      </w:r>
      <w:r>
        <w:rPr>
          <w:rFonts w:ascii="Times New Roman" w:cs="Times New Roman" w:eastAsia="Times New Roman" w:hAnsi="Times New Roman"/>
          <w:sz w:val="18"/>
          <w:szCs w:val="18"/>
          <w:color w:val="auto"/>
        </w:rPr>
        <w:t>: Seller shall execute and deliver all necessary documents, credentials, and authorizations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transfer ownership of the domain “mouth.com” to Buyer. Seller warrants that there are no third-party claims against the domain that would affect the transfer of ownership.</w:t>
      </w:r>
    </w:p>
    <w:p>
      <w:pPr>
        <w:spacing w:after="0" w:line="170"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Trademark transfer process approval: </w:t>
      </w:r>
      <w:r>
        <w:rPr>
          <w:rFonts w:ascii="Times New Roman" w:cs="Times New Roman" w:eastAsia="Times New Roman" w:hAnsi="Times New Roman"/>
          <w:sz w:val="18"/>
          <w:szCs w:val="18"/>
          <w:color w:val="auto"/>
        </w:rPr>
        <w:t>Seller shall provide necessary approvals to commence the transfer of the Mouth trademark to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agrees to conduct required steps and to bear all costs and fees associated with the trademark transfer process.</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Ownership transfer of Shopify site</w:t>
      </w:r>
      <w:r>
        <w:rPr>
          <w:rFonts w:ascii="Times New Roman" w:cs="Times New Roman" w:eastAsia="Times New Roman" w:hAnsi="Times New Roman"/>
          <w:sz w:val="18"/>
          <w:szCs w:val="18"/>
          <w:color w:val="auto"/>
        </w:rPr>
        <w:t>: Seller shall transfer all administrative rights and credentials for the Shopify site to Buyer, including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customer and supplier databases, transaction history, and other e-commerce data integral to the operation of the business.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Transferring other Mouth-related digital accounts: </w:t>
      </w:r>
      <w:r>
        <w:rPr>
          <w:rFonts w:ascii="Times New Roman" w:cs="Times New Roman" w:eastAsia="Times New Roman" w:hAnsi="Times New Roman"/>
          <w:sz w:val="18"/>
          <w:szCs w:val="18"/>
          <w:color w:val="auto"/>
        </w:rPr>
        <w:t>Seller shall transfer ownership, and/or provide any required authorizations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administrative control, and post-closing payment responsibilities for the following accounts and tools owned by Seller or in which Seller has rights including, Google Ads, Google Search Console, Google Tag Manager, Mouth email account, Klaviyo, Help Scout, Google Analytics, Facebook Business Account, Triple Whale, Github (website code backup), Yotpo, Commission Junction (Affiliate Marketing Platform), Social Media Accounts: Tik Tok, Instagram, Facebook, Pinterest, LinkedIn, X (Twitter), and Dropbox.</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Other Representations or Warranties. </w:t>
      </w:r>
      <w:r>
        <w:rPr>
          <w:rFonts w:ascii="Times New Roman" w:cs="Times New Roman" w:eastAsia="Times New Roman" w:hAnsi="Times New Roman"/>
          <w:sz w:val="18"/>
          <w:szCs w:val="18"/>
          <w:color w:val="auto"/>
        </w:rPr>
        <w:t>Except as expressly set forth in this Agreement, neither party makes any other representations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express or implied, including, without limitation, any representations or warranties of merchantability, fitness for a particular purpose, or non-infringement. Any representations or warranties not specifically included in this Agreement are hereby expressly disclaimed and shall have no legal effect.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I.1. Governing Law. </w:t>
      </w:r>
      <w:r>
        <w:rPr>
          <w:rFonts w:ascii="Times New Roman" w:cs="Times New Roman" w:eastAsia="Times New Roman" w:hAnsi="Times New Roman"/>
          <w:sz w:val="18"/>
          <w:szCs w:val="18"/>
          <w:color w:val="auto"/>
        </w:rPr>
        <w:t>This Agreement, and any dispute arising out of, relating to, or in connection with this Agreement,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in accordance with the Laws of the State of Delaware, without giving effect to any choice or conflict of Law provision or rule (whether of the State of Delaware or of any other jurisdiction) that would cause the application of the Laws of any jurisdiction other than the State of Delaware.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officers thereunto duly authorized, all at or on the date and year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 Innovations, LLC, a Delaware corporation</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Eve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Eve David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 Specialty Foods, Inc., a New York corporation</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Bill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Bennett</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ind w:left="5580" w:right="4019" w:hanging="5572"/>
        <w:spacing w:after="0" w:line="475" w:lineRule="auto"/>
        <w:tabs>
          <w:tab w:leader="none" w:pos="33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Gift card balance ($174,637): filename “Mouth Gift Cards as of 2024.10.08.xls”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anual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February 21,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take an active role in the prevention of insider trading violations by its officers, directors, employees, consultants, attorneys, advisors and other related individuals,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Innovative Food Holdings, Inc., a Florida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policies and procedures described in this Insider Trading Compliance Manual.</w:t>
      </w:r>
    </w:p>
    <w:p>
      <w:pPr>
        <w:spacing w:after="0" w:line="17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of Insider Trading Policy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Effective as of the date first written above, the Board has adopted the Insider Trading Policy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the same may be amended from time to time by the Board,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which prohibits trading based on “material, nonpublic information” regarding the Company or any company whose securities are listed for trading or quotation in the United States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Policy covers all officers and directors of the Company and its subsidiaries, all other employees of the Company and its subsidiaries, and consultants or contractors to the Company or its subsidiaries who have or may have access to Material Non-Public Information and members of the immediate family or household of any such person. This Policy (and/or a summary thereof) is to be delivered to all employees, consultants and related individuals who are within the categories of covered persons upon the commencement of their relationships with the Company.</w:t>
      </w:r>
    </w:p>
    <w:p>
      <w:pPr>
        <w:spacing w:after="0" w:line="176"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Designation of Certain Persons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68"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16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directors and executive officers of the Company will be subject to the reporting and liability provisions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Individuals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71"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Persons Subject to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certain employees, consultants, and advisors of the Company as described in Section I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or are likely to have, from time to time access to Material Non-Public Information and together with the Section 16 Individuals, are subject to the Policy, including the pre-clearance requirement described in Section IV. A. below.</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8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Post-Termination Transactions</w:t>
      </w:r>
      <w:r>
        <w:rPr>
          <w:rFonts w:ascii="Times New Roman" w:cs="Times New Roman" w:eastAsia="Times New Roman" w:hAnsi="Times New Roman"/>
          <w:sz w:val="18"/>
          <w:szCs w:val="18"/>
          <w:color w:val="auto"/>
        </w:rPr>
        <w:t>. This Policy continues to apply to transactions in Company securities even after an employee,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has resigned or terminated his or her employment. If the person who resigns or separates from the Company is in possession of Material Non-Public Information at that time, he or she may not trade in Company securities until that information has become public or is no longer material.</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7" w:right="339" w:bottom="1440" w:gutter="0" w:footer="0" w:header="0"/>
        </w:sectPr>
      </w:pPr>
    </w:p>
    <w:bookmarkStart w:id="78" w:name="page79"/>
    <w:bookmarkEnd w:id="78"/>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of Insider Trading Compliance Officer</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adoption of this Policy, the Board has appointed Gary Schubert as the Insider Trading Compliance Officer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Duties of Compliance Officer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Compliance Officer has been designated by the Board to handle any and all matters relating to the Company’s Insider Trading Compliance Program. Certain of those duties may require the advice of outside counsel with special expertise in securities issues and relevant law. The duties of the Compliance Officer shall include the following: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Pre-clearing all transactions involving the Company’s securities by the Section 16 Individuals and those individuals having regular access to Material Non-Public Information in order to determine compliance with the Policy, insider trading laws, Section 16 of the Exchange Act and Rule 144 promulgated under the Securities Act of 1933, as amended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Pre-Clearance Checklist to assist the Compliance Officer’s performance of this duty.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Assisting in the preparation and filing of Section 16 reports (Forms 3, 4 and 5) for all Section 16 Individuals, bearing in mind, however, that the preparation of such reports is undertaken by the Company as a courtesy only and that the Section 16 Individuals alone (and not the Company, its employees or advisors) shall be solely responsible for the content and filing of such reports and for any violations of Section 16 under the Exchange Act and related rules and regulations.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C. Serving as the designated recipient at the Company of copies of reports filed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Section 16 Individuals under Section 16 of the Exchange Act.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Performing periodic reviews of available materials, which may include Forms 3, 4 and 5, Form 144, officers and director’s questionnaires, and reports received from the Company’s stock administrator and transfer agent, to determine trading activity by officers, directors and others who have, or may have, access to Material Non-Public Information.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Circulating the Policy (and/or a summary thereof) to all covered employees, including Section 16 Individuals, on an annual basis, and providing the Policy and other appropriate materials to new officers, directors and others who have, or may have, access to Material Non-Public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Assisting the Board in implementation of the Policy and all related Company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Coordinating with Company internal or external legal counsel regarding all securities compliance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Retaining copies of all appropriate securities reports, and maintaining records of his or her activities as Compliance Officer.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79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[Acknowledgement Appears on the Next Page]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79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 hereby acknowledge that I have received a copy of Innovative Food Holdings, Inc.’s </w:t>
      </w:r>
      <w:r>
        <w:rPr>
          <w:rFonts w:ascii="Times New Roman" w:cs="Times New Roman" w:eastAsia="Times New Roman" w:hAnsi="Times New Roman"/>
          <w:sz w:val="18"/>
          <w:szCs w:val="18"/>
          <w:b w:val="1"/>
          <w:bCs w:val="1"/>
          <w:color w:val="auto"/>
        </w:rPr>
        <w:t>Insider Trading Compliance Manual</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 Manual</w:t>
      </w:r>
      <w:r>
        <w:rPr>
          <w:rFonts w:ascii="Times New Roman" w:cs="Times New Roman" w:eastAsia="Times New Roman" w:hAnsi="Times New Roman"/>
          <w:sz w:val="18"/>
          <w:szCs w:val="18"/>
          <w:color w:val="auto"/>
        </w:rPr>
        <w:t>”). Further, I certify that I have reviewed the Insider Trading Manual, understand the policies and procedures contained therein and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bound by and adhere to these policies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79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Guidelines with Respect to Certain Transactions in Company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options and warrants to purchase common stock and any other securities the Company may issue from time to time, such as preferred stock, warrants and convertible notes, as well as to derivative securities relating to the Company’s stock, whether or not issued by the Company, such as exchange-traded options. It applies to all officers and directors of the Company, all other employees of the Company and its subsidiaries, and consultants or contractors to the Company or its subsidiaries who have or may have access to Material Nonpublic Information (as defined below) regarding the Company and members of the immediate family or household of any such person. This group of people is sometimes referred to in this Policy as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This Policy also applies to any person who receives Material Nonpublic Information from any Insider.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person who possesses Material Nonpublic Information regarding the Company is an Insider for so long as such information is not publicly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It is not possible to define all categories of material information. However, the U.S. Supreme Court and other federal courts have ruled that information should be regarded as “material” if there is </w:t>
      </w:r>
      <w:r>
        <w:rPr>
          <w:rFonts w:ascii="Times New Roman" w:cs="Times New Roman" w:eastAsia="Times New Roman" w:hAnsi="Times New Roman"/>
          <w:sz w:val="18"/>
          <w:szCs w:val="18"/>
          <w:b w:val="1"/>
          <w:bCs w:val="1"/>
          <w:i w:val="1"/>
          <w:iCs w:val="1"/>
          <w:color w:val="auto"/>
        </w:rPr>
        <w:t>a substantial likelihood</w:t>
      </w:r>
      <w:r>
        <w:rPr>
          <w:rFonts w:ascii="Times New Roman" w:cs="Times New Roman" w:eastAsia="Times New Roman" w:hAnsi="Times New Roman"/>
          <w:sz w:val="18"/>
          <w:szCs w:val="18"/>
          <w:color w:val="auto"/>
        </w:rPr>
        <w:t xml:space="preserve"> that a </w:t>
      </w:r>
      <w:r>
        <w:rPr>
          <w:rFonts w:ascii="Times New Roman" w:cs="Times New Roman" w:eastAsia="Times New Roman" w:hAnsi="Times New Roman"/>
          <w:sz w:val="18"/>
          <w:szCs w:val="18"/>
          <w:b w:val="1"/>
          <w:bCs w:val="1"/>
          <w:i w:val="1"/>
          <w:iCs w:val="1"/>
          <w:color w:val="auto"/>
        </w:rPr>
        <w:t>reasonable investor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would consider the information important in making an investment decision; and</w:t>
      </w:r>
    </w:p>
    <w:p>
      <w:pPr>
        <w:spacing w:after="0" w:line="225" w:lineRule="exact"/>
        <w:rPr>
          <w:rFonts w:ascii="Times New Roman" w:cs="Times New Roman" w:eastAsia="Times New Roman" w:hAnsi="Times New Roman"/>
          <w:sz w:val="18"/>
          <w:szCs w:val="18"/>
          <w:b w:val="1"/>
          <w:bCs w:val="1"/>
          <w:i w:val="1"/>
          <w:iCs w:val="1"/>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would view the information as having significantly altered the “total mix” of available information about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“Nonpublic” information is information that has not been previously disclosed to the general public and is otherwise not available to the general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it may be difficult to determine whether particular information is material, there are various categories of information that are particularly sensitive and, as a general rule, should always be considered material. In addition, material information may be positive or negative. Examples of such information may include:</w:t>
      </w:r>
    </w:p>
    <w:p>
      <w:pPr>
        <w:spacing w:after="0" w:line="176"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Company’s stock exchange listing or SEC regulatory issues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regulatory review of Company products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other proprietary/scientific information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contract awards, cancellations or write-offs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ventures/commercial partnerships with third parties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milestones and related payments or royalties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or acquisition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240"/>
          </w:cols>
          <w:pgMar w:left="320" w:top="792" w:right="339" w:bottom="1440" w:gutter="0" w:footer="0" w:header="0"/>
        </w:sectPr>
      </w:pPr>
    </w:p>
    <w:bookmarkStart w:id="82" w:name="page83"/>
    <w:bookmarkEnd w:id="82"/>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disposition of material assets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substantial customer or supplier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of a significant nature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 of Directors of the Company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EXCEPTIONS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1" w:lineRule="exact"/>
        <w:rPr>
          <w:sz w:val="20"/>
          <w:szCs w:val="20"/>
          <w:color w:val="auto"/>
        </w:rPr>
      </w:pPr>
    </w:p>
    <w:p>
      <w:pPr>
        <w:jc w:val="both"/>
        <w:ind w:firstLine="656"/>
        <w:spacing w:after="0" w:line="268" w:lineRule="auto"/>
        <w:tabs>
          <w:tab w:leader="none" w:pos="84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Options Exercises</w:t>
      </w:r>
      <w:r>
        <w:rPr>
          <w:rFonts w:ascii="Times New Roman" w:cs="Times New Roman" w:eastAsia="Times New Roman" w:hAnsi="Times New Roman"/>
          <w:sz w:val="18"/>
          <w:szCs w:val="18"/>
          <w:color w:val="auto"/>
        </w:rPr>
        <w:t>. For purposes of this Policy, the Company considers that the exercise of stock options under the Company’s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 plans (but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the sale of the underlying stock) to be exempt from this Policy. This Policy does apply, however, to any sale of stock as part of a broker-assisted “cashless” exercise of an option, or any market sale for the purpose of generating the cash needed to pay the exercise price of an option.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2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401(k) Plan</w:t>
      </w:r>
      <w:r>
        <w:rPr>
          <w:rFonts w:ascii="Times New Roman" w:cs="Times New Roman" w:eastAsia="Times New Roman" w:hAnsi="Times New Roman"/>
          <w:sz w:val="18"/>
          <w:szCs w:val="18"/>
          <w:color w:val="auto"/>
        </w:rPr>
        <w:t>. This Policy does not apply to purchases of Company stock in the Company’s 401(k) plan resulting from periodic contributions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money to the plan pursuant to payroll deduction elections. This Policy does apply, however, to certain elections that may be made under the 401(k) plan, including (a) an election to increase or decrease the percentage of periodic contributions that will be allocated to the Company stock fund, if any, (b) an election to make an intra-plan transfer of an existing account balance into or out of the Company stock fund, (c) 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 Stock Purchase Plan</w:t>
      </w:r>
      <w:r>
        <w:rPr>
          <w:rFonts w:ascii="Times New Roman" w:cs="Times New Roman" w:eastAsia="Times New Roman" w:hAnsi="Times New Roman"/>
          <w:sz w:val="18"/>
          <w:szCs w:val="18"/>
          <w:color w:val="auto"/>
        </w:rPr>
        <w:t>. This Policy does not apply to purchases of Company stock in the Company’s employee stock purchase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resulting from periodic contributions of money to the plan pursuant to the elections made at the time of enrollment in the plan. This Policy also does not apply to purchases of Company stock resulting from lump sum contributions to the plan, provided that the participant elected to participate by lump-sum payment at the beginning of the applicable enrollment period. This Policy does apply to a participant’s election to participate in or increase his or her participation in the plan, and to a participant’s sales of Company stock purchased pursuant to the plan.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Reinvestment Plan</w:t>
      </w:r>
      <w:r>
        <w:rPr>
          <w:rFonts w:ascii="Times New Roman" w:cs="Times New Roman" w:eastAsia="Times New Roman" w:hAnsi="Times New Roman"/>
          <w:sz w:val="18"/>
          <w:szCs w:val="18"/>
          <w:color w:val="auto"/>
        </w:rPr>
        <w:t>. This Policy does not apply to purchases of Company stock under the Company’s dividend reinvestment plan,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his level of participation in the plan. This Policy also applies to his or her sale of any Company stock purchased pursuant to the plan.</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Exceptions</w:t>
      </w:r>
      <w:r>
        <w:rPr>
          <w:rFonts w:ascii="Times New Roman" w:cs="Times New Roman" w:eastAsia="Times New Roman" w:hAnsi="Times New Roman"/>
          <w:sz w:val="18"/>
          <w:szCs w:val="18"/>
          <w:color w:val="auto"/>
        </w:rPr>
        <w:t>. Any exceptions to this Policy other than as set forth above may only be made by advance written approval of each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President or Chief Executive Officers, (ii) the Company’s Insider Trading Compliance Officer and (iii) the Chairman of the Governance and Nominating Committee of the Board. Any such exceptions shall be immediately reported to the remaining members of the Board.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A-2</w:t>
            </w:r>
          </w:p>
        </w:tc>
      </w:tr>
    </w:tbl>
    <w:p>
      <w:pPr>
        <w:sectPr>
          <w:pgSz w:w="11900" w:h="16838" w:orient="portrait"/>
          <w:cols w:equalWidth="0" w:num="1">
            <w:col w:w="11240"/>
          </w:cols>
          <w:pgMar w:left="320" w:top="79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Policy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prohibit the unauthorized disclosure of any nonpublic information acquired in the workplace and the misuse of Material Nonpublic Information in securities trading related to the Company or any other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Policies</w:t>
      </w:r>
    </w:p>
    <w:p>
      <w:pPr>
        <w:spacing w:after="0" w:line="225" w:lineRule="exact"/>
        <w:rPr>
          <w:sz w:val="20"/>
          <w:szCs w:val="20"/>
          <w:color w:val="auto"/>
        </w:rPr>
      </w:pPr>
    </w:p>
    <w:p>
      <w:pPr>
        <w:jc w:val="both"/>
        <w:ind w:firstLine="656"/>
        <w:spacing w:after="0" w:line="259" w:lineRule="auto"/>
        <w:tabs>
          <w:tab w:leader="none" w:pos="82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on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certain exceptions, no Insider shall engage in any transaction involving a purchase or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or any other company’s securities, including any offer to purchase or offer to sell, during any period commencing with the date that he or she possesses Material Nonpublic Information concerning the Company, and ending at the close of business on the second Trading Day following the date of public disclosure of that information, or at such time as such nonpublic information is no longer material. However, see Section 2 under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 Period</w:t>
      </w:r>
      <w:r>
        <w:rPr>
          <w:rFonts w:ascii="Times New Roman" w:cs="Times New Roman" w:eastAsia="Times New Roman" w:hAnsi="Times New Roman"/>
          <w:sz w:val="18"/>
          <w:szCs w:val="18"/>
          <w:color w:val="auto"/>
        </w:rPr>
        <w:t>” below for a full discussion of trading pursuant to a pre-established plan or by delegation.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 day on which national stock exchanges are open for trading.</w:t>
      </w:r>
    </w:p>
    <w:p>
      <w:pPr>
        <w:spacing w:after="0" w:line="225" w:lineRule="exact"/>
        <w:rPr>
          <w:sz w:val="20"/>
          <w:szCs w:val="20"/>
          <w:color w:val="auto"/>
        </w:rPr>
      </w:pPr>
    </w:p>
    <w:p>
      <w:pPr>
        <w:jc w:val="both"/>
        <w:ind w:firstLine="656"/>
        <w:spacing w:after="0" w:line="262" w:lineRule="auto"/>
        <w:tabs>
          <w:tab w:leader="none" w:pos="8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 shall disclose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Material Nonpublic Information to any other person (including family members) where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Regulation FD (Fair Disclosure) is an issuer disclosure rule implemented by the SEC that addresses selective disclosure of Material Nonpublic Information. The regulation provides that when the Company, or person acting on its behalf, discloses material nonpublic information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disclosures simultaneously; for a non-intentional disclosure the Company must make public disclosure promptly. Under the regulation, the required public disclosure may be made by filing or furnishing a Form 8-K, or by another method or combination of methods that is reasonably designed to effect broad, non-exclusionary distribution of the information to the public.</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It is the policy of the Company that all public communications of the Company (including, without limitation, communications with the press, other public statements, statements made via the Internet or social media outlets, or communications with any regulatory authority) be handled </w:t>
      </w:r>
      <w:r>
        <w:rPr>
          <w:rFonts w:ascii="Times New Roman" w:cs="Times New Roman" w:eastAsia="Times New Roman" w:hAnsi="Times New Roman"/>
          <w:sz w:val="18"/>
          <w:szCs w:val="18"/>
          <w:b w:val="1"/>
          <w:bCs w:val="1"/>
          <w:i w:val="1"/>
          <w:iCs w:val="1"/>
          <w:color w:val="auto"/>
        </w:rPr>
        <w:t>only</w:t>
      </w:r>
      <w:r>
        <w:rPr>
          <w:rFonts w:ascii="Times New Roman" w:cs="Times New Roman" w:eastAsia="Times New Roman" w:hAnsi="Times New Roman"/>
          <w:sz w:val="18"/>
          <w:szCs w:val="18"/>
          <w:color w:val="auto"/>
        </w:rPr>
        <w:t xml:space="preserve"> through the Company’s President and/or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 authorized designee of the CEO or the Company’s public or investor relations firm. Please refer all press, analyst or similar requests for information to the CEO and do not respond to any inquiries without prior authorization from the CEO. If the CEO is unavailable, the Company’s Chief Financial Officer (or the authorized designee of such officer) will fill this role.</w:t>
      </w:r>
    </w:p>
    <w:p>
      <w:pPr>
        <w:spacing w:after="0" w:line="179" w:lineRule="exact"/>
        <w:rPr>
          <w:sz w:val="20"/>
          <w:szCs w:val="20"/>
          <w:color w:val="auto"/>
        </w:rPr>
      </w:pPr>
    </w:p>
    <w:p>
      <w:pPr>
        <w:jc w:val="both"/>
        <w:ind w:firstLine="656"/>
        <w:spacing w:after="0" w:line="268" w:lineRule="auto"/>
        <w:tabs>
          <w:tab w:leader="none" w:pos="86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of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(including, without limitation, via email or by posting on Internet message boards, blogs or social media) is strictly forbidden.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2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Duty to Report Inappropriate and Irregular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employees, and particularly managers and/or supervisors, have a responsibility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maintaining financial integrity within the company, consistent with generally accepted accounting principles and both federal and state securities laws. Any employee who becomes aware of any incidents involving financial or accounting manipulation or irregularities, whether by witnessing the incident or being told of it, must report it to their immediate supervisor and to any member of the Company’s Audit Committee. In certain instances, employees are allowed to participate in federal or state proceedings. For a more complete understanding of this issue, employees should consult their employee manual and/or seek the advice from their direct report or the Company’s principal executive officers (who may, in turn, seek input from the Company’s outside legal counsel).</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A-3</w:t>
            </w:r>
          </w:p>
        </w:tc>
      </w:tr>
    </w:tbl>
    <w:p>
      <w:pPr>
        <w:sectPr>
          <w:pgSz w:w="11900" w:h="16838" w:orient="portrait"/>
          <w:cols w:equalWidth="0" w:num="1">
            <w:col w:w="11240"/>
          </w:cols>
          <w:pgMar w:left="320" w:top="79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AND/OR DISCIPLINARY ACTION</w:t>
      </w:r>
    </w:p>
    <w:p>
      <w:pPr>
        <w:spacing w:after="0" w:line="203" w:lineRule="exact"/>
        <w:rPr>
          <w:sz w:val="20"/>
          <w:szCs w:val="20"/>
          <w:color w:val="auto"/>
        </w:rPr>
      </w:pPr>
    </w:p>
    <w:p>
      <w:pPr>
        <w:jc w:val="both"/>
        <w:ind w:firstLine="656"/>
        <w:spacing w:after="0" w:line="259" w:lineRule="auto"/>
        <w:tabs>
          <w:tab w:leader="none" w:pos="82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be subject to penalties of up to $5,000,000 for individuals (and $25,000,000 for a business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 to twenty (20) years in prison for engaging in transactions in the Company’s securities at a time when they possess Material Nonpublic Information regarding the Company. In addition, the SEC has the authority to seek a civil monetary penalty of up to three times the amount of profit gained or loss avoided by illegal insider trading. “Profit gained” or “loss avoided” generally means the difference between the purchase or sale price of the Company’s stock and its value as measured by the trading price of the stock a reasonable period after public dissemination of the nonpublic information.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also be liable for improper transactions by any person (commonly referred to as a “tippee”) to whom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National Association of Securities Dealers, Inc. use sophisticated electronic surveillance techniques to monitor and uncover insider trading.</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4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Possible Disciplinary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subject to the Policy who violate this Policy shall also be subject to disciplinary action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which may include suspension, forfeiture of perquisites, ineligibility for future participation in the Company’s equity incentive plans and/or termination of employment.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PERMITTED TRADING PERIOD</w:t>
      </w:r>
    </w:p>
    <w:p>
      <w:pPr>
        <w:spacing w:after="0" w:line="225" w:lineRule="exact"/>
        <w:rPr>
          <w:sz w:val="20"/>
          <w:szCs w:val="20"/>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Black-Out Period and Trading Window</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ensure compliance with this Policy and applicable federal and state securities laws, the Company requires that all officers, directors, members of the immediate family or household of any such person and others who are subject to this Policy refrain from conducting any transactions involving the purchase or sale of the Company’s securities, other than during the period in any fiscal quarter commencing at the close of business on the second Trading Day following the date of public disclosure of the financial results for the prior fiscal quarter or year and ending on the fifteenth day of the third month of the fiscal quarter (the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If such public disclosure occurs on a Trading Day before the markets close, then such date of disclosure shall be considered the first Trading Day following such public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the Company’s policy that the period when the Trading Window is “closed” is a particularly sensitive period of time for transactions in the Company’s securities from the perspective of compliance with applicable securities laws. This is because Insiders will, as any quarter progresses, are increasingly likely to possess Material Nonpublic Information about the expected financial results for the quarter. The purpose of the Trading Window is to avoid any unlawful or improper transactions or the appearance of any such transactions.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It should be noted that even during the Trading Window any person possessing Material Nonpublic Information concerning the Company shall not engage in any transactions in the Company’s (or any other companies, as applicable) securities until such information has been known publicly for at least two Trading Days. The Company has adopted the policy of delaying trading for “at least two Trading Days” because the securities laws require that the public be informed </w:t>
      </w:r>
      <w:r>
        <w:rPr>
          <w:rFonts w:ascii="Times New Roman" w:cs="Times New Roman" w:eastAsia="Times New Roman" w:hAnsi="Times New Roman"/>
          <w:sz w:val="18"/>
          <w:szCs w:val="18"/>
          <w:u w:val="single" w:color="auto"/>
          <w:color w:val="auto"/>
        </w:rPr>
        <w:t>effectively</w:t>
      </w:r>
      <w:r>
        <w:rPr>
          <w:rFonts w:ascii="Times New Roman" w:cs="Times New Roman" w:eastAsia="Times New Roman" w:hAnsi="Times New Roman"/>
          <w:sz w:val="18"/>
          <w:szCs w:val="18"/>
          <w:color w:val="auto"/>
        </w:rPr>
        <w:t xml:space="preserve"> of previously undisclosed material information before Insiders trade in the Company’s stock. Public disclosure may occur through a widely disseminated press release or through filings, such as Forms 10-Q and 8-K, with the SEC. Furthermore, in order for the public to be effectively informed, the public must be given time to evaluate the information disclosed by the Company. Although the amount of time necessary for the public to evaluate the information may vary depending on the complexity of the information, generally two Trading Days is a sufficient period of time.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A-4</w:t>
            </w:r>
          </w:p>
        </w:tc>
      </w:tr>
    </w:tbl>
    <w:p>
      <w:pPr>
        <w:sectPr>
          <w:pgSz w:w="11900" w:h="16838" w:orient="portrait"/>
          <w:cols w:equalWidth="0" w:num="1">
            <w:col w:w="11240"/>
          </w:cols>
          <w:pgMar w:left="320" w:top="792" w:right="339" w:bottom="1440" w:gutter="0" w:footer="0" w:header="0"/>
        </w:sectPr>
      </w:pPr>
    </w:p>
    <w:bookmarkStart w:id="85" w:name="page86"/>
    <w:bookmarkEnd w:id="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also require that Insiders suspend trading because of developments known to the Company and not yet disclosed to the public. In such event, such persons may not engage in any transaction involving the purchase or sale of the Company’s securities during such period and may not disclose to others the fact of such suspension of trading.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Although the Company may from time to time require during a Trading Window that Insiders and others suspend trading because of developments known to the Company and not yet disclosed to the public, </w:t>
      </w:r>
      <w:r>
        <w:rPr>
          <w:rFonts w:ascii="Times New Roman" w:cs="Times New Roman" w:eastAsia="Times New Roman" w:hAnsi="Times New Roman"/>
          <w:sz w:val="18"/>
          <w:szCs w:val="18"/>
          <w:b w:val="1"/>
          <w:bCs w:val="1"/>
          <w:i w:val="1"/>
          <w:iCs w:val="1"/>
          <w:color w:val="auto"/>
        </w:rPr>
        <w:t>each person is individually responsible at all times for compliance with the prohibitions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against insider trading. Trading in the Company’s securities during the Trading Window should </w:t>
      </w:r>
      <w:r>
        <w:rPr>
          <w:rFonts w:ascii="Times New Roman" w:cs="Times New Roman" w:eastAsia="Times New Roman" w:hAnsi="Times New Roman"/>
          <w:sz w:val="18"/>
          <w:szCs w:val="18"/>
          <w:b w:val="1"/>
          <w:bCs w:val="1"/>
          <w:i w:val="1"/>
          <w:iCs w:val="1"/>
          <w:u w:val="single" w:color="auto"/>
          <w:color w:val="auto"/>
        </w:rPr>
        <w:t>not</w:t>
      </w:r>
      <w:r>
        <w:rPr>
          <w:rFonts w:ascii="Times New Roman" w:cs="Times New Roman" w:eastAsia="Times New Roman" w:hAnsi="Times New Roman"/>
          <w:sz w:val="18"/>
          <w:szCs w:val="18"/>
          <w:b w:val="1"/>
          <w:bCs w:val="1"/>
          <w:i w:val="1"/>
          <w:iCs w:val="1"/>
          <w:color w:val="auto"/>
        </w:rPr>
        <w:t xml:space="preserve"> be considered a “safe harbor,” and all directors, officers and other persons should use good judgment at all times.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these general rules, Insiders may trade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of the Trading Window provided that such trades are made pursuant to a legally compliant, pre-established plan or by delegation established at a time that the Insider is not in possession of material nonpublic information. These alternatives are discussed in the next section.</w:t>
      </w:r>
    </w:p>
    <w:p>
      <w:pPr>
        <w:spacing w:after="0" w:line="172"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According to a Pre-established Plan (10b5-1) or by Delegation.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has adopted Rule 10b5-1 (which was amended in December 2022) under which insider trading liability can be avoided if Insiders follow very specific procedures. In general, such procedures involve trading according to pre-established instructions, plans or programs (a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after a required “cooling off” period described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10b5-1 Plans must:</w:t>
      </w:r>
    </w:p>
    <w:p>
      <w:pPr>
        <w:spacing w:after="0" w:line="225" w:lineRule="exact"/>
        <w:rPr>
          <w:sz w:val="20"/>
          <w:szCs w:val="20"/>
          <w:color w:val="auto"/>
        </w:rPr>
      </w:pPr>
    </w:p>
    <w:p>
      <w:pPr>
        <w:jc w:val="both"/>
        <w:ind w:firstLine="1304"/>
        <w:spacing w:after="0" w:line="268" w:lineRule="auto"/>
        <w:tabs>
          <w:tab w:leader="none" w:pos="156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 documented by a contract, written plan, or formal instruction which provides that the trade take place in the future.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an Insider can contract to sell his or her shares on a specific date, or simply delegate such decisions to an investment manager, 401(k) plan administrator or similar third party. This documentation must be provided to the Company’s Insider Trading Compliance Officer;</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57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Include in its documentation the specific amount, price and timing of the trade, or the formula for determining the amount, price and timing. </w:t>
      </w:r>
      <w:r>
        <w:rPr>
          <w:rFonts w:ascii="Times New Roman" w:cs="Times New Roman" w:eastAsia="Times New Roman" w:hAnsi="Times New Roman"/>
          <w:sz w:val="18"/>
          <w:szCs w:val="18"/>
          <w:color w:val="auto"/>
        </w:rPr>
        <w:t>For example, the Insider can buy or sell shares in a specific amount and on a specific date each month, or according to a pre-established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percentage (of the Insider’s salary, for example) each time that the share price falls or rises to pre-established levels. In the case where trading decisions have been delegated (i.e., to a third party broker or money manager), the specific amount, price and timing need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provided;</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54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 implemented at a time when the Insider does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possess material non-public information. </w:t>
      </w:r>
      <w:r>
        <w:rPr>
          <w:rFonts w:ascii="Times New Roman" w:cs="Times New Roman" w:eastAsia="Times New Roman" w:hAnsi="Times New Roman"/>
          <w:sz w:val="18"/>
          <w:szCs w:val="18"/>
          <w:color w:val="auto"/>
        </w:rPr>
        <w:t>As a practical matter, this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the Insider may set up 10b5-1 Plans, or delegate trading discretion,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a “Trading Window” (discussed in Section 1, above), assuming the Insider is not in possession of material non-public information;</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6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Remain beyond the scope of the Insider’s influence after implementation. </w:t>
      </w:r>
      <w:r>
        <w:rPr>
          <w:rFonts w:ascii="Times New Roman" w:cs="Times New Roman" w:eastAsia="Times New Roman" w:hAnsi="Times New Roman"/>
          <w:sz w:val="18"/>
          <w:szCs w:val="18"/>
          <w:color w:val="auto"/>
        </w:rPr>
        <w:t>In general, the Insider must allow the 10b5-1 Plan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executed without changes to the accompanying instructions, and the Insider cannot later execute a hedge transaction that modifies the effect of the 10b5-1 Plan. Insiders should be aware that the termination or modification of a 10b5-1 Plan </w:t>
      </w:r>
      <w:r>
        <w:rPr>
          <w:rFonts w:ascii="Times New Roman" w:cs="Times New Roman" w:eastAsia="Times New Roman" w:hAnsi="Times New Roman"/>
          <w:sz w:val="18"/>
          <w:szCs w:val="18"/>
          <w:u w:val="single" w:color="auto"/>
          <w:color w:val="auto"/>
        </w:rPr>
        <w:t>after</w:t>
      </w:r>
      <w:r>
        <w:rPr>
          <w:rFonts w:ascii="Times New Roman" w:cs="Times New Roman" w:eastAsia="Times New Roman" w:hAnsi="Times New Roman"/>
          <w:sz w:val="18"/>
          <w:szCs w:val="18"/>
          <w:color w:val="auto"/>
        </w:rPr>
        <w:t xml:space="preserve"> trades have been undertaken under such plan could negate the 10b5-1 affirmative defense afforded by such program for all such prior trades. As such, termination or modification of a 10b-5 Plan should only be undertaken in consultation with your legal counsel. If the Insider has delegated decision-making authority to a third party, the Insider cannot subsequently influence the third party in any way and such third party must not possess material non-public information at the time of any of the trades;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A-5</w:t>
            </w:r>
          </w:p>
        </w:tc>
      </w:tr>
    </w:tbl>
    <w:p>
      <w:pPr>
        <w:sectPr>
          <w:pgSz w:w="11900" w:h="16838" w:orient="portrait"/>
          <w:cols w:equalWidth="0" w:num="1">
            <w:col w:w="11240"/>
          </w:cols>
          <w:pgMar w:left="320" w:top="796" w:right="339" w:bottom="1440" w:gutter="0" w:footer="0" w:header="0"/>
        </w:sectPr>
      </w:pPr>
    </w:p>
    <w:bookmarkStart w:id="86" w:name="page87"/>
    <w:bookmarkEnd w:id="86"/>
    <w:p>
      <w:pPr>
        <w:jc w:val="both"/>
        <w:ind w:firstLine="1304"/>
        <w:spacing w:after="0" w:line="262" w:lineRule="auto"/>
        <w:tabs>
          <w:tab w:leader="none" w:pos="15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 subject to a “cooling off” period</w:t>
      </w:r>
      <w:r>
        <w:rPr>
          <w:rFonts w:ascii="Times New Roman" w:cs="Times New Roman" w:eastAsia="Times New Roman" w:hAnsi="Times New Roman"/>
          <w:sz w:val="18"/>
          <w:szCs w:val="18"/>
          <w:color w:val="auto"/>
        </w:rPr>
        <w:t>. Effective February 27, 2023, Rule 10b5-1 contains “cooling-off period” for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that prohibit such insiders from trading in a 10b5-1 Plan until the later of (i) 90 days following the plan’s adoption or modification or (ii) two business days following the Company’s disclosure (via a report filed with the SEC) of its financial results for the fiscal quarter in which the plan was adopted or modified; and</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Contain Insider certifications</w:t>
      </w:r>
      <w:r>
        <w:rPr>
          <w:rFonts w:ascii="Times New Roman" w:cs="Times New Roman" w:eastAsia="Times New Roman" w:hAnsi="Times New Roman"/>
          <w:sz w:val="18"/>
          <w:szCs w:val="18"/>
          <w:color w:val="auto"/>
        </w:rPr>
        <w:t>. Effective February 27, 2023, directors and officers are required to include a certification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10b5-1 Plans to certify that at the time the plan is adopted or modified: (i) they are not aware of Material Nonpublic Information about the Company or its securities and (ii) they are adopting the 10b5-1 Plan in good faith and not as part of a plan or scheme to evade the anti-fraud provisions of the Exchange Act.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Important</w:t>
      </w:r>
      <w:r>
        <w:rPr>
          <w:rFonts w:ascii="Times New Roman" w:cs="Times New Roman" w:eastAsia="Times New Roman" w:hAnsi="Times New Roman"/>
          <w:sz w:val="18"/>
          <w:szCs w:val="18"/>
          <w:color w:val="auto"/>
        </w:rPr>
        <w:t>: In addition, effective February 27, 2023: (i) Insiders are prohibited from having multiple overlapping 10b5-1 Plans or more than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in any given year, (ii) a modification relating to amount, price and timing of trades under a 10b5-1 Plan is deemed a plan termination which requires a new cooling off period, and (iii) whether a particular trade is undertaken pursuant to a 10b5-1 Plan will need to be disclosed (by checkoff box) on the applicable Forms 4 or 5 of the Insider.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Pre-Approval Required</w:t>
      </w:r>
      <w:r>
        <w:rPr>
          <w:rFonts w:ascii="Times New Roman" w:cs="Times New Roman" w:eastAsia="Times New Roman" w:hAnsi="Times New Roman"/>
          <w:sz w:val="18"/>
          <w:szCs w:val="18"/>
          <w:color w:val="auto"/>
        </w:rPr>
        <w:t>: Prior to implementing a 10b5-1 Plan, all officers and directors must receive the approval for such plan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details of the plan to) the Company’s Insider Trading Compliance Officer.</w:t>
      </w:r>
    </w:p>
    <w:p>
      <w:pPr>
        <w:spacing w:after="0" w:line="155" w:lineRule="exact"/>
        <w:rPr>
          <w:sz w:val="20"/>
          <w:szCs w:val="20"/>
          <w:color w:val="auto"/>
        </w:rPr>
      </w:pPr>
    </w:p>
    <w:p>
      <w:pPr>
        <w:ind w:left="840" w:hanging="184"/>
        <w:spacing w:after="0"/>
        <w:tabs>
          <w:tab w:leader="none" w:pos="8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Pre-Clearance of Trades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during a Trading Window, all Insiders, must comply with the Company’s “pre-clearance” process prior to trading in the Company’s securities, implementing a pre-established plan for trading, or delegating decision-making authority over the Insider’s trades. To do so, each Insider must contact the Company’s Insider Trading Compliance Officer prior to initiating any of these actions. The Company may also find it necessary, from time to time, to require compliance with the pre-clearance process from others who may be in possession of Material Nonpublic Information.</w:t>
      </w:r>
    </w:p>
    <w:p>
      <w:pPr>
        <w:spacing w:after="0" w:line="176" w:lineRule="exact"/>
        <w:rPr>
          <w:sz w:val="20"/>
          <w:szCs w:val="20"/>
          <w:color w:val="auto"/>
        </w:rPr>
      </w:pPr>
    </w:p>
    <w:p>
      <w:pPr>
        <w:ind w:left="840" w:hanging="184"/>
        <w:spacing w:after="0"/>
        <w:tabs>
          <w:tab w:leader="none" w:pos="8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Every person subject to this Policy has the individual responsibility to comply with this Policy against insider trading, regardless of whether the Company has established a Trading Window applicable to that Insider or any other Insiders of the Company. Each individual, and not necessarily the Company, is responsible for his or her own actions and will be individually responsible for the consequences of their actions. Therefore, appropriate judgment, diligence and caution should be exercised in connection with any trade in the Company’s securities.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A-6</w:t>
            </w:r>
          </w:p>
        </w:tc>
      </w:tr>
    </w:tbl>
    <w:p>
      <w:pPr>
        <w:sectPr>
          <w:pgSz w:w="11900" w:h="16838" w:orient="portrait"/>
          <w:cols w:equalWidth="0" w:num="1">
            <w:col w:w="11240"/>
          </w:cols>
          <w:pgMar w:left="320" w:top="79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APPLICABILITY OF POLICY TO INSIDE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OTHER COMPANIES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or suppliers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when that information is obtained in the course of employment with, or other services performed on behalf of the Company. Civil and criminal penalties, as well as termination of employment, may result from trading on Material Nonpublic Information regarding the Company’s business partners. All Insiders should treat Material Nonpublic Information about the Company’s business partners with the same care as is required with respect to information relating directly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PROHIBITION AGAINST BUYING AND SELLING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COMMON STOCK WITHIN A SIX-MONTH PERIOD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Officers and 10% Shareholders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Purchases and sales (or sales and purchases) of Company common stock occurring within any six-month period in which a mathematical profit is realized result in illegal “short-swing profits.” The prohibition against short-swing profits is found in Section 16 of the Exchange Act. Section 16 was drafted as a rather arbitrary prohibition against profitable “insider trading” in a company’s securities within any six-month period regardless of the presence or absence of material nonpublic information that may affect the market price of those securities. Each executive officer, director and 10% shareholder of the Company is subject to the prohibition against short-swing profits under Section 16. Such persons are required to file Forms 3, 4 and 5 reports reporting his or her initial ownership of the Company’s common stock and any subsequent changes in such ownership. The Sarbanes-Oxley Act of 2002 requires executive officers and directors who must report transactions on Form 4 to do so by the end of the second business day following the transaction date, and amendments to Form 4 adopted effective February 2023 require the reporting person to check on the form if the purchase or sale was undertaken pursuant to a 10b5-1 Plan. Profit realized, for the purposes of Section 16, is calculated generally to provide maximum recovery by the Company. The measure of damages is the profit computed from any purchase and sale or any sale and purchase within the short-swing (i.e., six-month) period, without regard to any setoffs for losses, any first-in or first-out rules, or the identity of the shares of common stock. This approach sometimes has been called the “lowest price in, highest price out” rule.</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rules on recovery of short-swing profits are absolute and do not depend on whether a person has Material Nonpublic Information.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avoid trading activity that could inadvertently trigger a short-swing profit, it is the Company’s policy that no executive officer, director and 10% shareholder of the Company who has a 10b5-1 Plan in place may engage in voluntary purchases or sales of Company securities outside of and while such 10b5-1 Plan remains in place.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direct your questions as to any of the matters discussed in this Policy to the Company’s Insider Trading Compliance Officer.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A-7</w:t>
            </w:r>
          </w:p>
        </w:tc>
      </w:tr>
    </w:tbl>
    <w:p>
      <w:pPr>
        <w:sectPr>
          <w:pgSz w:w="11900" w:h="16838" w:orient="portrait"/>
          <w:cols w:equalWidth="0" w:num="1">
            <w:col w:w="11240"/>
          </w:cols>
          <w:pgMar w:left="320" w:top="79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rogram</w:t>
      </w:r>
      <w:r>
        <w:rPr>
          <w:rFonts w:ascii="Times New Roman" w:cs="Times New Roman" w:eastAsia="Times New Roman" w:hAnsi="Times New Roman"/>
          <w:sz w:val="18"/>
          <w:szCs w:val="18"/>
          <w:b w:val="1"/>
          <w:bCs w:val="1"/>
          <w:color w:val="auto"/>
        </w:rPr>
        <w:t xml:space="preserve"> - 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learance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hecklist</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b w:val="1"/>
          <w:bCs w:val="1"/>
          <w:color w:val="auto"/>
        </w:rPr>
        <w:t>Individual Proposing to Trade: _________________________</w:t>
      </w:r>
    </w:p>
    <w:p>
      <w:pPr>
        <w:spacing w:after="0" w:line="2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b w:val="1"/>
          <w:bCs w:val="1"/>
          <w:color w:val="auto"/>
        </w:rPr>
        <w:t>Number of Shares covered by Proposed Trade: _________________________</w:t>
      </w:r>
    </w:p>
    <w:p>
      <w:pPr>
        <w:spacing w:after="0" w:line="23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Date: _________________________</w:t>
      </w:r>
    </w:p>
    <w:p>
      <w:pPr>
        <w:spacing w:after="0" w:line="229" w:lineRule="exact"/>
        <w:rPr>
          <w:sz w:val="20"/>
          <w:szCs w:val="20"/>
          <w:color w:val="auto"/>
        </w:rPr>
      </w:pPr>
    </w:p>
    <w:p>
      <w:pPr>
        <w:ind w:left="660" w:hanging="652"/>
        <w:spacing w:after="0"/>
        <w:tabs>
          <w:tab w:leader="none" w:pos="66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Trading Window</w:t>
      </w:r>
      <w:r>
        <w:rPr>
          <w:rFonts w:ascii="Times New Roman" w:cs="Times New Roman" w:eastAsia="Times New Roman" w:hAnsi="Times New Roman"/>
          <w:sz w:val="18"/>
          <w:szCs w:val="18"/>
          <w:color w:val="auto"/>
        </w:rPr>
        <w:t>. Confirm that the trade will be made during the Company’s “trading window.”</w:t>
      </w:r>
    </w:p>
    <w:p>
      <w:pPr>
        <w:spacing w:after="0" w:line="225" w:lineRule="exact"/>
        <w:rPr>
          <w:rFonts w:ascii="MS PGothic" w:cs="MS PGothic" w:eastAsia="MS PGothic" w:hAnsi="MS PGothic"/>
          <w:sz w:val="18"/>
          <w:szCs w:val="18"/>
          <w:color w:val="auto"/>
        </w:rPr>
      </w:pPr>
    </w:p>
    <w:p>
      <w:pPr>
        <w:jc w:val="both"/>
        <w:ind w:left="660" w:hanging="652"/>
        <w:spacing w:after="0" w:line="266" w:lineRule="auto"/>
        <w:tabs>
          <w:tab w:leader="none" w:pos="66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16 Compliance</w:t>
      </w:r>
      <w:r>
        <w:rPr>
          <w:rFonts w:ascii="Times New Roman" w:cs="Times New Roman" w:eastAsia="Times New Roman" w:hAnsi="Times New Roman"/>
          <w:sz w:val="18"/>
          <w:szCs w:val="18"/>
          <w:color w:val="auto"/>
        </w:rPr>
        <w:t>. Confirm, if the individual is subject to Section 16, that the proposed trade will not give rise to any potential liability under Section 16 as a result of matched past (or intended future) transactions. Also, ensure that a Form 4 has been or will be completed and will be timely filed.</w:t>
      </w:r>
    </w:p>
    <w:p>
      <w:pPr>
        <w:spacing w:after="0" w:line="17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Prohibited Trades</w:t>
      </w:r>
      <w:r>
        <w:rPr>
          <w:rFonts w:ascii="Times New Roman" w:cs="Times New Roman" w:eastAsia="Times New Roman" w:hAnsi="Times New Roman"/>
          <w:sz w:val="18"/>
          <w:szCs w:val="18"/>
          <w:color w:val="auto"/>
        </w:rPr>
        <w:t>. Confirm, if the individual is subject to Section 16, that the proposed transaction is not a “short sale,” put, call or other prohibited or strongly discouraged transaction.</w:t>
      </w:r>
    </w:p>
    <w:p>
      <w:pPr>
        <w:spacing w:after="0" w:line="161" w:lineRule="exact"/>
        <w:rPr>
          <w:rFonts w:ascii="MS PGothic" w:cs="MS PGothic" w:eastAsia="MS PGothic" w:hAnsi="MS PGothic"/>
          <w:sz w:val="18"/>
          <w:szCs w:val="18"/>
          <w:color w:val="auto"/>
        </w:rPr>
      </w:pPr>
    </w:p>
    <w:p>
      <w:pPr>
        <w:ind w:left="660" w:hanging="652"/>
        <w:spacing w:after="0"/>
        <w:tabs>
          <w:tab w:leader="none" w:pos="66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144 Compliance (as applicable)</w:t>
      </w:r>
      <w:r>
        <w:rPr>
          <w:rFonts w:ascii="Times New Roman" w:cs="Times New Roman" w:eastAsia="Times New Roman" w:hAnsi="Times New Roman"/>
          <w:sz w:val="18"/>
          <w:szCs w:val="18"/>
          <w:color w:val="auto"/>
        </w:rPr>
        <w:t>. Confirm that: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Current public information requirement has been met;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Shares are not restricted or, if restricted, the one year holding period has been met;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Volume limitations are not exceeded (confirm that the individual is not part of an aggregated group);</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manner of sale requirements have been met; and</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Notice of Form 144 Sale has been completed and filed.</w:t>
      </w:r>
    </w:p>
    <w:p>
      <w:pPr>
        <w:spacing w:after="0" w:line="225" w:lineRule="exact"/>
        <w:rPr>
          <w:rFonts w:ascii="MS PGothic" w:cs="MS PGothic" w:eastAsia="MS PGothic" w:hAnsi="MS PGothic"/>
          <w:sz w:val="18"/>
          <w:szCs w:val="18"/>
          <w:color w:val="auto"/>
        </w:rPr>
      </w:pPr>
    </w:p>
    <w:p>
      <w:pPr>
        <w:jc w:val="both"/>
        <w:ind w:left="660" w:hanging="652"/>
        <w:spacing w:after="0" w:line="261" w:lineRule="auto"/>
        <w:tabs>
          <w:tab w:leader="none" w:pos="66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10b-5 Concerns</w:t>
      </w:r>
      <w:r>
        <w:rPr>
          <w:rFonts w:ascii="Times New Roman" w:cs="Times New Roman" w:eastAsia="Times New Roman" w:hAnsi="Times New Roman"/>
          <w:sz w:val="18"/>
          <w:szCs w:val="18"/>
          <w:color w:val="auto"/>
        </w:rPr>
        <w:t>. Confirm that (i) the individual has been reminded that trading is prohibited when in possession of any material information regarding the Company that has not been adequately disclosed to the public, and (ii) the Insider Trading Compliance Officer has discussed with the individual any information known to the individual or the Insider Trading Compliance Officer which might be considered material, so that the individual has made an informed judgment as to the presence of inside information.</w:t>
      </w:r>
    </w:p>
    <w:p>
      <w:pPr>
        <w:spacing w:after="0" w:line="179"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10b5-1 Matters</w:t>
      </w:r>
      <w:r>
        <w:rPr>
          <w:rFonts w:ascii="Times New Roman" w:cs="Times New Roman" w:eastAsia="Times New Roman" w:hAnsi="Times New Roman"/>
          <w:sz w:val="18"/>
          <w:szCs w:val="18"/>
          <w:color w:val="auto"/>
        </w:rPr>
        <w:t>. Confirm whether the individual has implemented, or proposes to implement, a pre-arranged trading plan under Rule 10b5-1. If so, obtain details of the plan.</w:t>
      </w:r>
    </w:p>
    <w:p>
      <w:pPr>
        <w:spacing w:after="0" w:line="3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 of Insider Trading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INSIDER TRADING POLICY (U.S. ISSUER)</w:t>
            </w:r>
          </w:p>
        </w:tc>
        <w:tc>
          <w:tcPr>
            <w:tcW w:w="66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240"/>
          </w:cols>
          <w:pgMar w:left="320" w:top="792"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SCHEDULE OF SUBSIDIARIES</w:t>
      </w:r>
    </w:p>
    <w:p>
      <w:pPr>
        <w:sectPr>
          <w:pgSz w:w="11900" w:h="16838" w:orient="portrait"/>
          <w:cols w:equalWidth="0" w:num="1">
            <w:col w:w="10139"/>
          </w:cols>
          <w:pgMar w:left="320" w:top="117" w:right="1440" w:bottom="1440" w:gutter="0" w:footer="0" w:header="0"/>
        </w:sect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Food Innovations,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Food New Media Group,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 The Gourmet, Inc. (d/b/a/ For The Gourmet,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Gourmet Foodservice Group,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Artisan Specialty Foods,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Gourmet Foodservice Group Warehouse,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Gourmeting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Innovative Gourmet,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Food Funding,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Logistics Innovations,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 Innovations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 Innovations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Innovative Food Properties,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 Foods Innovations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 Foods,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PlantBelly,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Plant Innovations,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Innovative Foods,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Innovative Gourmet Partnerships, LLC</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4900" w:space="720"/>
            <w:col w:w="4519"/>
          </w:cols>
          <w:pgMar w:left="320" w:top="117" w:right="1440"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William Bennett,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Innovative Food Holdings, Inc. and Subsidiaries;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Innovative Food Holdings, Inc. and Subsidiaries;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Innovative Food Holdings, Inc. and Subsidiaries (the “Company”) on Form 10-K for the year ended December 31, 2024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William Bennett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Innovative Food Holdings, Inc. and Subsidiaries (the “Company”) on Form 10-K for the year ended December 31, 2024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Innovative Food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following executive compensation clawback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shall supplement any other clawback or compensation recovery policy or policies adopted by the Company or included in any agreement between the Company, or any subsidiary of the Company, and a person covered by this Policy. If any such other policy or agreement provides that a greater amount of compensation shall be subject to clawback, such other policy or agreement shall apply to the amount in excess of the amount subject to clawback under this Policy.</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Policy shall be interpreted to comply with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 10D-1 and Listing Rule 5608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as may be amended or supplemented and interpreted from time to time by Nasdaq.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is any manner deemed inconsistent with the Listing Rule, this Policy shall be treated as having been amended to be compliant with the Listing Rule.</w:t>
      </w:r>
    </w:p>
    <w:p>
      <w:pPr>
        <w:spacing w:after="0" w:line="176" w:lineRule="exact"/>
        <w:rPr>
          <w:sz w:val="20"/>
          <w:szCs w:val="20"/>
          <w:color w:val="auto"/>
        </w:rPr>
      </w:pPr>
    </w:p>
    <w:p>
      <w:pPr>
        <w:ind w:left="840" w:hanging="184"/>
        <w:spacing w:after="0"/>
        <w:tabs>
          <w:tab w:leader="none" w:pos="8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Unless the context otherwise the following definitions apply for purposes of this Policy:</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Executive Officer</w:t>
      </w:r>
      <w:r>
        <w:rPr>
          <w:rFonts w:ascii="Times New Roman" w:cs="Times New Roman" w:eastAsia="Times New Roman" w:hAnsi="Times New Roman"/>
          <w:sz w:val="18"/>
          <w:szCs w:val="18"/>
          <w:color w:val="auto"/>
        </w:rPr>
        <w:t>. An executive officer is the Company’s chief executive officer, chief financial officer, principal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Policy-making function is not intended to include policy-making functions that are not significant. Identification of an executive officer for purposes of the Listing Rule would include at a minimum executive officers identified in the Listing Rule.</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Financial Reporting Measures</w:t>
      </w:r>
      <w:r>
        <w:rPr>
          <w:rFonts w:ascii="Times New Roman" w:cs="Times New Roman" w:eastAsia="Times New Roman" w:hAnsi="Times New Roman"/>
          <w:sz w:val="18"/>
          <w:szCs w:val="18"/>
          <w:color w:val="auto"/>
        </w:rPr>
        <w:t>. Financial reporting measures are measures that are determined and presented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and may be such financial measures as may be determined by the Board or the Compensation Committee thereof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304"/>
        <w:spacing w:after="0" w:line="286" w:lineRule="auto"/>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Incentive-Based Compensation</w:t>
      </w:r>
      <w:r>
        <w:rPr>
          <w:rFonts w:ascii="Times New Roman" w:cs="Times New Roman" w:eastAsia="Times New Roman" w:hAnsi="Times New Roman"/>
          <w:sz w:val="18"/>
          <w:szCs w:val="18"/>
          <w:color w:val="auto"/>
        </w:rPr>
        <w:t>. Incentive-based compensation is any compensation that is granted, earned or vested based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part upon the attainment of a financial reporting measure.</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 specified in the incentive-based compensation award is attained, even if the payment or grant of the incentive-based compensation occurs after the end of that period.</w:t>
      </w:r>
    </w:p>
    <w:p>
      <w:pPr>
        <w:spacing w:after="0" w:line="170"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Application of this Policy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recovery of Incentive-Based Compensation from an Executive Officer as provided for in this Policy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only in the event that the Company is required to prepare an accounting restatement due to the material noncompliance of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7830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1" w:lineRule="exact"/>
        <w:rPr>
          <w:sz w:val="20"/>
          <w:szCs w:val="20"/>
          <w:color w:val="auto"/>
        </w:rPr>
      </w:pPr>
    </w:p>
    <w:p>
      <w:pPr>
        <w:jc w:val="both"/>
        <w:ind w:firstLine="8"/>
        <w:spacing w:after="0" w:line="210" w:lineRule="auto"/>
        <w:tabs>
          <w:tab w:leader="none" w:pos="128"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questions as to “materiality” will be made by the Audit Committee as part of the restatement process. Companies should review the charters for Audit and Compensation committees and consider updates authorizing them to oversee and make applicable determinations under the company’s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840" w:hanging="184"/>
        <w:spacing w:after="0"/>
        <w:tabs>
          <w:tab w:leader="none" w:pos="8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Period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3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Incentive-Based Compensation subject to recovery is the Incentive-Based Compensation Received during the three (3) completed fiscal years immediately preceding the date that the Company is required to prepare an accounting restatement as described in Section 2 above, provided that the person served as an Executive Officer at any time during the performance period applicable to the Incentive-Based Compensation in question. The date that the Company is required to prepare an accounting restatement shall be determined pursuant to the Listing Rule.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Policy shall only apply if the Incentive-Based Compensation is Received (i) while the Company has a class of securities listed on Nasdaq and (ii) on or after October 2, 2023.</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Listing Rule shall apply with respect to Incentive-Based Compensation received during a transition period arising due to a change in the Company’s fiscal year.</w:t>
      </w:r>
    </w:p>
    <w:p>
      <w:pPr>
        <w:spacing w:after="0" w:line="157" w:lineRule="exact"/>
        <w:rPr>
          <w:rFonts w:ascii="Times New Roman" w:cs="Times New Roman" w:eastAsia="Times New Roman" w:hAnsi="Times New Roman"/>
          <w:sz w:val="18"/>
          <w:szCs w:val="18"/>
          <w:color w:val="auto"/>
        </w:rPr>
      </w:pPr>
    </w:p>
    <w:p>
      <w:pPr>
        <w:jc w:val="both"/>
        <w:ind w:firstLine="656"/>
        <w:spacing w:after="0" w:line="254" w:lineRule="auto"/>
        <w:tabs>
          <w:tab w:leader="none" w:pos="855"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Erroneously Awarded Compensation</w:t>
      </w:r>
      <w:r>
        <w:rPr>
          <w:rFonts w:ascii="Times New Roman" w:cs="Times New Roman" w:eastAsia="Times New Roman" w:hAnsi="Times New Roman"/>
          <w:sz w:val="18"/>
          <w:szCs w:val="18"/>
          <w:color w:val="auto"/>
        </w:rPr>
        <w:t>. The amount of Incentive-Based Compensation subject to recovery from the applicable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under this Policy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shall be equal to the amount of Incentive-Based Compensation Received that exceeds the amount of Incentive Based-Compensation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shall be based on a reasonable estimate by the Company’s Chief Financial Officer (or principal accounting officer, if the office of Chief Financial Officer is not then filled) of the effect of the accounting restatement on the stock price or total shareholder return upon which the Incentive-Based Compensation was received, which estimate shall be subject to the review and approval of the Compensation Committee; and (b) the Company must maintain reasonable documentation of the determination of that reasonable estimate and provide such documentation to Nasdaq if requested. Notwithstanding the foregoing, if the proposed Incentive-Based Compensation recovery would affect compensation paid to the Company’s Chief Financial Officer, the determination shall be made by the Compensation Committee.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Timing of Recovery</w:t>
      </w:r>
      <w:r>
        <w:rPr>
          <w:rFonts w:ascii="Times New Roman" w:cs="Times New Roman" w:eastAsia="Times New Roman" w:hAnsi="Times New Roman"/>
          <w:sz w:val="18"/>
          <w:szCs w:val="18"/>
          <w:color w:val="auto"/>
        </w:rPr>
        <w:t>. The Company shall recover any Erroneously Awarded Compensation reasonably promptly except to the extent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paragraphs (a), (b), or (c) below apply. The Compensation Committee shall determine the repayment schedule for each amount of Erroneously Awarded Compensation in a manner that complies with this “reasonably promptly” requirement. Such determination shall be consistent with any applicable legal guidance by the SEC, Nasdaq, judicial opinion, or otherwise. The determination of “reasonably promptly” may vary from case to case and the Compensation Committee is authorized to adopt additional rules or policies to further describe what repayment schedules satisfy this requirement.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both"/>
        <w:ind w:firstLine="1304"/>
        <w:spacing w:after="0" w:line="255" w:lineRule="auto"/>
        <w:tabs>
          <w:tab w:leader="none" w:pos="154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the direct expense paid to a third party to assist in enforcing (or making determinations in connection with the enforcement of) this Policy would exceed the amount to be recovered and the Compensation Committee has made a determination that recovery would be impracticable. Before concluding that it would be impracticable to recover any amount of Erroneously Awarded Compensation based on expense of enforcement, the Company shall (i) make a reasonable attempt to recover such Erroneously Awarded Compensation,</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such reasonable attempt or attempts to recover, and (iii) provide appropriate documentation to the Compensation Committee or Nasdaq, if requested.</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a violation of home country law, the Company shall obtain an opinion of home country counsel, in form an substance that would be reasonably acceptable to Nasdaq, that recovery would result in such a violation and shall provide such opinion to Nasdaq, if requested.</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5"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likely cause an otherwise tax-qualified retirement plan, under which benefits are broadly available to employees of the Company, to fail to meet the requirements of 26 U.S.C. 401(a)(13) or 26 U.S.C. 411(a) and the regulations thereunder (as such provision may be amended, modified or supplemented).</w:t>
      </w:r>
    </w:p>
    <w:p>
      <w:pPr>
        <w:spacing w:after="0" w:line="171" w:lineRule="exact"/>
        <w:rPr>
          <w:rFonts w:ascii="Times New Roman" w:cs="Times New Roman" w:eastAsia="Times New Roman" w:hAnsi="Times New Roman"/>
          <w:sz w:val="18"/>
          <w:szCs w:val="18"/>
          <w:color w:val="auto"/>
        </w:rPr>
      </w:pPr>
    </w:p>
    <w:p>
      <w:pPr>
        <w:ind w:firstLine="656"/>
        <w:spacing w:after="0" w:line="286" w:lineRule="auto"/>
        <w:tabs>
          <w:tab w:leader="none" w:pos="841"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Committee Decisions</w:t>
      </w:r>
      <w:r>
        <w:rPr>
          <w:rFonts w:ascii="Times New Roman" w:cs="Times New Roman" w:eastAsia="Times New Roman" w:hAnsi="Times New Roman"/>
          <w:sz w:val="18"/>
          <w:szCs w:val="18"/>
          <w:color w:val="auto"/>
        </w:rPr>
        <w:t>. Decisions of the Compensation Committee with respect to this Policy shall be final, conclusive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on all Executive Officers subject to this Policy.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41"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w:t>
      </w:r>
      <w:r>
        <w:rPr>
          <w:rFonts w:ascii="Times New Roman" w:cs="Times New Roman" w:eastAsia="Times New Roman" w:hAnsi="Times New Roman"/>
          <w:sz w:val="18"/>
          <w:szCs w:val="18"/>
          <w:color w:val="auto"/>
        </w:rPr>
        <w:t>. Notwithstanding anything to the contrary in any other policy of the Company or any agreement between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 Executive Officer, no Executive Officer shall be indemnified by the Company against the loss arising from the recovery of any Erroneously Awarded Compensation.</w:t>
      </w:r>
    </w:p>
    <w:p>
      <w:pPr>
        <w:spacing w:after="0" w:line="174" w:lineRule="exact"/>
        <w:rPr>
          <w:rFonts w:ascii="Times New Roman" w:cs="Times New Roman" w:eastAsia="Times New Roman" w:hAnsi="Times New Roman"/>
          <w:sz w:val="18"/>
          <w:szCs w:val="18"/>
          <w:b w:val="1"/>
          <w:bCs w:val="1"/>
          <w:color w:val="auto"/>
        </w:rPr>
      </w:pPr>
    </w:p>
    <w:p>
      <w:pPr>
        <w:jc w:val="both"/>
        <w:ind w:firstLine="656"/>
        <w:spacing w:after="0" w:line="232" w:lineRule="auto"/>
        <w:tabs>
          <w:tab w:leader="none" w:pos="828"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Policy by Executive Officers</w:t>
      </w:r>
      <w:r>
        <w:rPr>
          <w:rFonts w:ascii="Times New Roman" w:cs="Times New Roman" w:eastAsia="Times New Roman" w:hAnsi="Times New Roman"/>
          <w:sz w:val="29"/>
          <w:szCs w:val="29"/>
          <w:b w:val="1"/>
          <w:bCs w:val="1"/>
          <w:u w:val="single" w:color="auto"/>
          <w:color w:val="auto"/>
          <w:vertAlign w:val="superscript"/>
        </w:rPr>
        <w:t>2</w:t>
      </w:r>
      <w:r>
        <w:rPr>
          <w:rFonts w:ascii="Times New Roman" w:cs="Times New Roman" w:eastAsia="Times New Roman" w:hAnsi="Times New Roman"/>
          <w:sz w:val="18"/>
          <w:szCs w:val="18"/>
          <w:color w:val="auto"/>
        </w:rPr>
        <w:t>. The Company shall take reasonable steps to inform Executive Officers of this Policy and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express agreement to this Policy, which steps may constitute the inclusion of this Policy as an attachment to any award that is accepted by an Executive Officer. This Policy shall be deemed to apply to each employment or grant agreement between the Company or any of its subsidiaries and any Executive Officer subject to this Policy.</w:t>
      </w:r>
    </w:p>
    <w:p>
      <w:pPr>
        <w:spacing w:after="0" w:line="198" w:lineRule="exact"/>
        <w:rPr>
          <w:rFonts w:ascii="Times New Roman" w:cs="Times New Roman" w:eastAsia="Times New Roman" w:hAnsi="Times New Roman"/>
          <w:sz w:val="18"/>
          <w:szCs w:val="18"/>
          <w:b w:val="1"/>
          <w:bCs w:val="1"/>
          <w:color w:val="auto"/>
        </w:rPr>
      </w:pPr>
    </w:p>
    <w:p>
      <w:pPr>
        <w:ind w:left="5580" w:hanging="136"/>
        <w:spacing w:after="0"/>
        <w:tabs>
          <w:tab w:leader="none" w:pos="5580"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firstLine="8"/>
        <w:spacing w:after="0" w:line="195" w:lineRule="auto"/>
        <w:tabs>
          <w:tab w:leader="none" w:pos="132"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Companies should be advised to have the executive officers acknowledge this in writing (similar to the Insider trading Policy acknowledgement). Also consider if amendments should be made to employment agreements, grant award forms, etc.</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o"/>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lowerLetter"/>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lvl w:ilvl="1">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5"/>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lowerRoman"/>
      <w:start w:val="1"/>
    </w:lvl>
  </w:abstractNum>
  <w:abstractNum w:abstractNumId="27">
    <w:nsid w:val="542289EC"/>
    <w:multiLevelType w:val="hybridMultilevel"/>
    <w:lvl w:ilvl="0">
      <w:lvlJc w:val="left"/>
      <w:lvlText w:val="%1"/>
      <w:numFmt w:val="decimal"/>
      <w:start w:val="21"/>
    </w:lvl>
  </w:abstractNum>
  <w:abstractNum w:abstractNumId="28">
    <w:nsid w:val="6DE91B18"/>
    <w:multiLevelType w:val="hybridMultilevel"/>
    <w:lvl w:ilvl="0">
      <w:lvlJc w:val="left"/>
      <w:lvlText w:val="*"/>
      <w:numFmt w:val="bullet"/>
      <w:start w:val="1"/>
    </w:lvl>
    <w:lvl w:ilvl="1">
      <w:lvlJc w:val="left"/>
      <w:lvlText w:val="%2"/>
      <w:numFmt w:val="decimal"/>
      <w:start w:val="104"/>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3"/>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upperLetter"/>
      <w:start w:val="9"/>
    </w:lvl>
  </w:abstractNum>
  <w:abstractNum w:abstractNumId="38">
    <w:nsid w:val="75C6C33A"/>
    <w:multiLevelType w:val="hybridMultilevel"/>
    <w:lvl w:ilvl="0">
      <w:lvlJc w:val="left"/>
      <w:lvlText w:val="%1."/>
      <w:numFmt w:val="upperLetter"/>
      <w:start w:val="35"/>
    </w:lvl>
    <w:lvl w:ilvl="1">
      <w:lvlJc w:val="left"/>
      <w:lvlText w:val="%2."/>
      <w:numFmt w:val="upperLetter"/>
      <w:start w:val="1"/>
    </w:lvl>
  </w:abstractNum>
  <w:abstractNum w:abstractNumId="39">
    <w:nsid w:val="12E685FB"/>
    <w:multiLevelType w:val="hybridMultilevel"/>
    <w:lvl w:ilvl="0">
      <w:lvlJc w:val="left"/>
      <w:lvlText w:val="%1."/>
      <w:numFmt w:val="upperLetter"/>
      <w:start w:val="6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2"/>
    </w:lvl>
  </w:abstractNum>
  <w:abstractNum w:abstractNumId="46">
    <w:nsid w:val="275AC794"/>
    <w:multiLevelType w:val="hybridMultilevel"/>
    <w:lvl w:ilvl="0">
      <w:lvlJc w:val="left"/>
      <w:lvlText w:val="%1."/>
      <w:numFmt w:val="decimal"/>
      <w:start w:val="3"/>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2"/>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5"/>
    </w:lvl>
  </w:abstractNum>
  <w:abstractNum w:abstractNumId="52">
    <w:nsid w:val="354FE9F9"/>
    <w:multiLevelType w:val="hybridMultilevel"/>
    <w:lvl w:ilvl="0">
      <w:lvlJc w:val="left"/>
      <w:lvlText w:val="%1."/>
      <w:numFmt w:val="decimal"/>
      <w:start w:val="3"/>
    </w:lvl>
  </w:abstractNum>
  <w:abstractNum w:abstractNumId="53">
    <w:nsid w:val="15B5AF5C"/>
    <w:multiLevelType w:val="hybridMultilevel"/>
    <w:lvl w:ilvl="0">
      <w:lvlJc w:val="left"/>
      <w:lvlText w:val="%1."/>
      <w:numFmt w:val="decimal"/>
      <w:start w:val="4"/>
    </w:lvl>
  </w:abstractNum>
  <w:abstractNum w:abstractNumId="54">
    <w:nsid w:val="741226BB"/>
    <w:multiLevelType w:val="hybridMultilevel"/>
    <w:lvl w:ilvl="0">
      <w:lvlJc w:val="left"/>
      <w:lvlText w:val="☐"/>
      <w:numFmt w:val="bullet"/>
      <w:start w:val="1"/>
    </w:lvl>
    <w:lvl w:ilvl="1">
      <w:lvlJc w:val="left"/>
      <w:lvlText w:val="☐"/>
      <w:numFmt w:val="bullet"/>
      <w:start w:val="1"/>
    </w:lvl>
  </w:abstractNum>
  <w:abstractNum w:abstractNumId="55">
    <w:nsid w:val="D34B6A8"/>
    <w:multiLevelType w:val="hybridMultilevel"/>
    <w:lvl w:ilvl="0">
      <w:lvlJc w:val="left"/>
      <w:lvlText w:val="%1."/>
      <w:numFmt w:val="decimal"/>
      <w:start w:val="1"/>
    </w:lvl>
    <w:lvl w:ilvl="1">
      <w:lvlJc w:val="left"/>
      <w:lvlText w:val="%2)"/>
      <w:numFmt w:val="lowerLetter"/>
      <w:start w:val="1"/>
    </w:lvl>
  </w:abstractNum>
  <w:abstractNum w:abstractNumId="56">
    <w:nsid w:val="10233C99"/>
    <w:multiLevelType w:val="hybridMultilevel"/>
    <w:lvl w:ilvl="0">
      <w:lvlJc w:val="left"/>
      <w:lvlText w:val="%1."/>
      <w:numFmt w:val="decimal"/>
      <w:start w:val="1"/>
    </w:lvl>
    <w:lvl w:ilvl="1">
      <w:lvlJc w:val="left"/>
      <w:lvlText w:val="%2)"/>
      <w:numFmt w:val="lowerLetter"/>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bullet"/>
      <w:start w:val="1"/>
    </w:lvl>
  </w:abstractNum>
  <w:abstractNum w:abstractNumId="61">
    <w:nsid w:val="579BE4F1"/>
    <w:multiLevelType w:val="hybridMultilevel"/>
    <w:lvl w:ilvl="0">
      <w:lvlJc w:val="left"/>
      <w:lvlText w:val="%1."/>
      <w:numFmt w:val="decimal"/>
      <w:start w:val="3"/>
    </w:lvl>
    <w:lvl w:ilvl="1">
      <w:lvlJc w:val="left"/>
      <w:lvlText w:val="(%2)"/>
      <w:numFmt w:val="lowerLetter"/>
      <w:start w:val="1"/>
    </w:lvl>
  </w:abstractNum>
  <w:abstractNum w:abstractNumId="62">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3">
    <w:nsid w:val="5FF87E05"/>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2"/>
    </w:lvl>
    <w:lvl w:ilvl="3">
      <w:lvlJc w:val="left"/>
      <w:lvlText w:val="#"/>
      <w:numFmt w:val="bullet"/>
      <w:start w:val="1"/>
    </w:lvl>
  </w:abstractNum>
  <w:abstractNum w:abstractNumId="64">
    <w:nsid w:val="2F305DE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89" Type="http://schemas.openxmlformats.org/officeDocument/2006/relationships/hyperlink" Target="http://www.sec.gov/Archives/edgar/data/312257/000114420405030172/v025859_ex3-1.htm" TargetMode="External"/><Relationship Id="rId90" Type="http://schemas.openxmlformats.org/officeDocument/2006/relationships/hyperlink" Target="http://www.sec.gov/Archives/edgar/data/312257/000118518511000325/ex3-2.htm" TargetMode="External"/><Relationship Id="rId91" Type="http://schemas.openxmlformats.org/officeDocument/2006/relationships/hyperlink" Target="http://www.sec.gov/Archives/edgar/data/312257/000118518518000100/ex3-ii.htm" TargetMode="External"/><Relationship Id="rId92" Type="http://schemas.openxmlformats.org/officeDocument/2006/relationships/hyperlink" Target="http://www.sec.gov/Archives/edgar/data/312257/000118518518000131/ex10-2.htm" TargetMode="External"/><Relationship Id="rId93" Type="http://schemas.openxmlformats.org/officeDocument/2006/relationships/hyperlink" Target="http://www.sec.gov/Archives/edgar/data/312257/000118518518000523/ex10-28.htm" TargetMode="External"/><Relationship Id="rId94" Type="http://schemas.openxmlformats.org/officeDocument/2006/relationships/hyperlink" Target="http://www.sec.gov/Archives/edgar/data/312257/000118518518000523/ex10-29.htm" TargetMode="External"/><Relationship Id="rId95" Type="http://schemas.openxmlformats.org/officeDocument/2006/relationships/hyperlink" Target="http://www.sec.gov/Archives/edgar/data/312257/000118518518000523/ex10-30.htm" TargetMode="External"/><Relationship Id="rId96" Type="http://schemas.openxmlformats.org/officeDocument/2006/relationships/hyperlink" Target="http://www.sec.gov/Archives/edgar/data/312257/000118518518000523/ex10-31.htm" TargetMode="External"/><Relationship Id="rId97" Type="http://schemas.openxmlformats.org/officeDocument/2006/relationships/hyperlink" Target="http://www.sec.gov/Archives/edgar/data/312257/000118518519000138/ex_133866.htm" TargetMode="External"/><Relationship Id="rId98" Type="http://schemas.openxmlformats.org/officeDocument/2006/relationships/hyperlink" Target="http://www.sec.gov/Archives/edgar/data/312257/000118518519001610/ex_164754.htm" TargetMode="External"/><Relationship Id="rId99" Type="http://schemas.openxmlformats.org/officeDocument/2006/relationships/hyperlink" Target="http://www.sec.gov/Archives/edgar/data/312257/000118518519001610/ex_164951.htm" TargetMode="External"/><Relationship Id="rId100" Type="http://schemas.openxmlformats.org/officeDocument/2006/relationships/hyperlink" Target="http://www.sec.gov/Archives/edgar/data/312257/000118518519001610/ex_164952.htm" TargetMode="External"/><Relationship Id="rId101" Type="http://schemas.openxmlformats.org/officeDocument/2006/relationships/hyperlink" Target="http://www.sec.gov/Archives/edgar/data/312257/000118518519001152/ex_155331.htm" TargetMode="External"/><Relationship Id="rId102" Type="http://schemas.openxmlformats.org/officeDocument/2006/relationships/hyperlink" Target="http://www.sec.gov/Archives/edgar/data/312257/000118518521001227/ex_280161.htm" TargetMode="External"/><Relationship Id="rId103" Type="http://schemas.openxmlformats.org/officeDocument/2006/relationships/hyperlink" Target="http://www.sec.gov/Archives/edgar/data/312257/000118518522000739/ex_386812.htm" TargetMode="External"/><Relationship Id="rId104" Type="http://schemas.openxmlformats.org/officeDocument/2006/relationships/hyperlink" Target="http://www.sec.gov/Archives/edgar/data/312257/000118518522000739/ex_386652.htm" TargetMode="External"/><Relationship Id="rId105" Type="http://schemas.openxmlformats.org/officeDocument/2006/relationships/hyperlink" Target="http://www.sec.gov/Archives/edgar/data/312257/000118518522000739/ex_386700.htm" TargetMode="External"/><Relationship Id="rId106" Type="http://schemas.openxmlformats.org/officeDocument/2006/relationships/hyperlink" Target="http://www.sec.gov/Archives/edgar/data/312257/000118518522001363/ex_451196.htm" TargetMode="External"/><Relationship Id="rId107" Type="http://schemas.openxmlformats.org/officeDocument/2006/relationships/hyperlink" Target="http://www.sec.gov/Archives/edgar/data/312257/000118518523000092/ex_472175.htm" TargetMode="External"/><Relationship Id="rId108" Type="http://schemas.openxmlformats.org/officeDocument/2006/relationships/hyperlink" Target="http://www.sec.gov/Archives/edgar/data/312257/000118518523001161/ex_594404.htm" TargetMode="External"/><Relationship Id="rId109" Type="http://schemas.openxmlformats.org/officeDocument/2006/relationships/hyperlink" Target="http://www.sec.gov/Archives/edgar/data/312257/000118518523000537/ex_522254.htm" TargetMode="External"/><Relationship Id="rId110" Type="http://schemas.openxmlformats.org/officeDocument/2006/relationships/hyperlink" Target="http://www.sec.gov/Archives/edgar/data/312257/000118518523000712/ex_542889.htm" TargetMode="External"/><Relationship Id="rId111" Type="http://schemas.openxmlformats.org/officeDocument/2006/relationships/hyperlink" Target="http://www.sec.gov/Archives/edgar/data/312257/000118518524000018/ex_611646.htm" TargetMode="External"/><Relationship Id="rId112" Type="http://schemas.openxmlformats.org/officeDocument/2006/relationships/hyperlink" Target="http://www.sec.gov/Archives/edgar/data/312257/000118518524000868/ex_721326.htm" TargetMode="External"/><Relationship Id="rId113" Type="http://schemas.openxmlformats.org/officeDocument/2006/relationships/hyperlink" Target="http://www.sec.gov/Archives/edgar/data/312257/000118518524000868/ex_721327.htm" TargetMode="External"/><Relationship Id="rId114" Type="http://schemas.openxmlformats.org/officeDocument/2006/relationships/hyperlink" Target="http://www.sec.gov/Archives/edgar/data/312257/000118518524001009/ex_734542.htm" TargetMode="External"/><Relationship Id="rId115" Type="http://schemas.openxmlformats.org/officeDocument/2006/relationships/hyperlink" Target="http://www.sec.gov/Archives/edgar/data/312257/000118518524001009/ex_734543.htm" TargetMode="External"/><Relationship Id="rId116" Type="http://schemas.openxmlformats.org/officeDocument/2006/relationships/hyperlink" Target="http://www.sec.gov/Archives/edgar/data/312257/000118518524000174/ex_627580.htm" TargetMode="External"/><Relationship Id="rId117" Type="http://schemas.openxmlformats.org/officeDocument/2006/relationships/hyperlink" Target="http://www.sec.gov/Archives/edgar/data/312257/000118518523000712/ex_5428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2025-03-20T14:05:28Z</dcterms:created>
  <dcterms:modified xsi:type="dcterms:W3CDTF">2025-03-20T14:05:28Z</dcterms:modified>
</cp:coreProperties>
</file>