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ivfh8k091826.htm"/>
      <w:bookmarkStart w:id="1" w:name="ksivfh8k09182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B_edei--DocumentType_c20260914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D_edei--EntityRegistrantName_c2026"/>
      <w:bookmarkEnd w:id="4"/>
      <w:r>
        <w:rPr>
          <w:rFonts w:ascii="Times New Roman;Times;Serif" w:hAnsi="Times New Roman;Times;Serif"/>
          <w:b/>
          <w:i w:val="false"/>
          <w:caps w:val="false"/>
          <w:smallCaps w:val="false"/>
          <w:sz w:val="36"/>
          <w:u w:val="single"/>
        </w:rPr>
        <w:t>Innovative Food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Florida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914"/>
            <w:bookmarkEnd w:id="6"/>
            <w:r>
              <w:rPr>
                <w:rFonts w:ascii="Times New Roman;Times;Serif" w:hAnsi="Times New Roman;Times;Serif"/>
                <w:b/>
                <w:sz w:val="20"/>
              </w:rPr>
              <w:t>000-09376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20-1167761</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2528 S 27th Ave</w:t>
              <w:br/>
            </w:r>
            <w:bookmarkStart w:id="9" w:name="xdx_902_edei--EntityAddressCityOrTown_c2"/>
            <w:bookmarkEnd w:id="9"/>
            <w:r>
              <w:rPr>
                <w:rFonts w:ascii="Times New Roman;Times;Serif" w:hAnsi="Times New Roman;Times;Serif"/>
                <w:b/>
                <w:sz w:val="20"/>
              </w:rPr>
              <w:t xml:space="preserve">Broadview, </w:t>
            </w:r>
            <w:bookmarkStart w:id="10" w:name="xdx_90B_edei--EntityAddressStateOrProvin"/>
            <w:bookmarkEnd w:id="10"/>
            <w:r>
              <w:rPr>
                <w:rFonts w:ascii="Times New Roman;Times;Serif" w:hAnsi="Times New Roman;Times;Serif"/>
                <w:b/>
                <w:sz w:val="20"/>
              </w:rPr>
              <w:t>IL</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F_edei--EntityAddressPostalZipCode"/>
            <w:bookmarkEnd w:id="11"/>
            <w:r>
              <w:rPr>
                <w:rFonts w:ascii="Times New Roman;Times;Serif" w:hAnsi="Times New Roman;Times;Serif"/>
                <w:b/>
                <w:sz w:val="20"/>
              </w:rPr>
              <w:t>60155</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E_edei--CityAreaCode_c20260914__20"/>
      <w:bookmarkEnd w:id="12"/>
      <w:r>
        <w:rPr>
          <w:rFonts w:ascii="Times New Roman;Times;Serif" w:hAnsi="Times New Roman;Times;Serif"/>
          <w:b/>
          <w:i w:val="false"/>
          <w:caps w:val="false"/>
          <w:smallCaps w:val="false"/>
          <w:sz w:val="20"/>
        </w:rPr>
        <w:t xml:space="preserve">(239) </w:t>
      </w:r>
      <w:bookmarkStart w:id="13" w:name="xdx_907_edei--LocalPhoneNumber_c20260914"/>
      <w:bookmarkEnd w:id="13"/>
      <w:r>
        <w:rPr>
          <w:rFonts w:ascii="Times New Roman;Times;Serif" w:hAnsi="Times New Roman;Times;Serif"/>
          <w:b/>
          <w:i w:val="false"/>
          <w:caps w:val="false"/>
          <w:smallCaps w:val="false"/>
          <w:sz w:val="20"/>
        </w:rPr>
        <w:t>596-0204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9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Innovative Food Holdings, Inc., a Florida corporation (the “Company”) entered into an amended and restated employment agreement (the “Liarakos Amendment”) with Argie Liarakos, pursuant to which the parties agreed to amend the employment agreement, dated January 6, 2026 (the “Liarakos Agreement”) with Mr. Liarakos, pursuant to which the parties agreed to replace the performance-based equity grant of 150,000 shares of common stock (the “Liarakos Grant”) under the Liarakos Agreement with a time-based Liarakos Grant vesting subject to the terms and conditions of the Liarakos Amendment, with acceleration of unvested shares upon occurrence of either (a) change of control, (b) termination of the employment by the Company without cause, or (c) resignation by Mr. Liarakos for good reason.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Liarakos Amendment, the Company and Mr. Liarakos entered into a restricted common stock award agreement governing the terms and conditions of the Liarakos Grant.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entered into an amended and restated employment agreement (the “Schubert Amendment”) with Gary Schubert, pursuant to which the parties agreed to amend the employment agreement, dated October 3, 2025 (the “Schubert Agreement”) with Mr. Schubert, pursuant to which the parties agreed to replace the performance-based equity grant of 1,350,000 shares of common stock (the “Schubert Grant) under the Schubert Agreement with a time-based Schubert Grant vesting subject to the terms and conditions of the Schubert Amendment, with acceleration of unvested shares upon occurrence of either (a) change of control, (b) termination of the employment by the Company without cause, or (c) resignation by Mr. Schubert for good reason.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Schubert Amendment, the Company and Mr. Schubert entered into a restricted common stock award agreement governing the terms and conditions of the Schubert Grant.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entered into an employment agreement (the “Saterbo Agreement,” together with the Schubert Amendment and Liarakos Amendment as the “Employment Agreements”) with Erik Saterbo, pursuant to which Mr. Saterbo shall be appointed as the Chief Financial Officer of the Company, effective immediately.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Saterbo, age 41, has over 10 years of financial compliance experience. From March 2024 to July 2026 he served as the chief financial officer of Foot Solutions Holdings Corp. He served as the Chief Financial Officer of Triangle Renovations, LLC from March 2023 to February 2024. Mr. Saterbo served as the managing member at SES Fund, LLC between April 2020 and December 2022. From June 2017 to March 2020, Mr. Saterbo served as Director of Financial Reporting at Asbury Automotive Group (NYSE: ABG). Mr. Saterbo has a bachelors degree and masters in Accounting from Georgia Southern University and is a is a licensed Certified Public Accountant in the State of Georgia.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Saterbo Agreement, Mr. Saterbo is entitled to (i) an annual base salary of $225,000, payable at least monthly and subject to annual review and potential increases by the Chief Executive Officer of the Company, the Board of Directors (the “Board”) or its compensation committee, (ii) an annual incentive of 12% of the base salary, payable in cash by March 15 of the year following the performance year, and (iii) a time-based equity grant of 150,000 shares of common stock (the “Saterbo Grant”) vesting based on the terms and conditions of the Saterbo Agreement, with acceleration of unvested shares upon occurrence of either (a) change of control, (b) termination of the employment by the Company without cause, or (c) resignation by Mr. Saterbo for good reason.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Saterbo’s employment with the Company shall terminate upon the first of the following: (i) September 14, 2029 (the “Expiration Date”), unless extended by mutual written agreement of the parties prior to the Expiration Date; (ii) death; (iii) the termination due to disability upon not less than 30-day prior written notice by the Company to Mr. Saterbo; (iv) the written notice by the Company to Mr. Saterbo of a termination for cause; (v) the not less than 30-day prior written notice by the Company to Mr. Saterbo of an involuntary termination without cause; (vi) the written notice by Mr. Saterbo to the Company of a resignation for good reason; and (vii) the not less than 30-day prior written notice by Mr. Saterbo to the Company of a resignation without good reason.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Saterbo Agreement, the Company and Mr. Saterbo entered into a restricted common stock award agreement governing the terms and conditions of the Saterbo Grant.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the Company and Mr. Saterbo pursuant to which Mr. Saterbo was appointed and there is no family relationship between or among any director or executive officer of the Company or Mr. Saterbo. There are no transactions to which the Company is or was a participant and in which Mr. Saterbo has a material interest subject to disclosure under Item 404(a) of Regulation 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Items 1.01 is incorporated by reference in this Item 5.02.</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6984" w:type="dxa"/>
        <w:jc w:val="left"/>
        <w:tblInd w:w="0" w:type="dxa"/>
        <w:tblLayout w:type="fixed"/>
        <w:tblCellMar>
          <w:top w:w="0" w:type="dxa"/>
          <w:left w:w="0" w:type="dxa"/>
          <w:bottom w:w="0" w:type="dxa"/>
          <w:right w:w="0" w:type="dxa"/>
        </w:tblCellMar>
      </w:tblPr>
      <w:tblGrid>
        <w:gridCol w:w="2630"/>
        <w:gridCol w:w="596"/>
        <w:gridCol w:w="3758"/>
      </w:tblGrid>
      <w:tr>
        <w:trPr/>
        <w:tc>
          <w:tcPr>
            <w:tcW w:w="2630"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b/>
              </w:rPr>
            </w:pPr>
            <w:r>
              <w:rPr>
                <w:b/>
              </w:rPr>
              <w:t>INNOVATIVE FOOD HOLDINGS, INC.</w:t>
            </w:r>
          </w:p>
        </w:tc>
      </w:tr>
      <w:tr>
        <w:trPr/>
        <w:tc>
          <w:tcPr>
            <w:tcW w:w="263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758"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18, 2026</w:t>
            </w:r>
          </w:p>
        </w:tc>
        <w:tc>
          <w:tcPr>
            <w:tcW w:w="596" w:type="dxa"/>
            <w:tcBorders/>
            <w:vAlign w:val="center"/>
          </w:tcPr>
          <w:p>
            <w:pPr>
              <w:pStyle w:val="TableContents"/>
              <w:bidi w:val="0"/>
              <w:spacing w:before="0" w:after="283"/>
              <w:jc w:val="left"/>
              <w:rPr/>
            </w:pPr>
            <w:r>
              <w:rPr/>
              <w:t>By:</w:t>
            </w:r>
          </w:p>
        </w:tc>
        <w:tc>
          <w:tcPr>
            <w:tcW w:w="3758" w:type="dxa"/>
            <w:tcBorders>
              <w:bottom w:val="single" w:sz="8" w:space="0" w:color="000000"/>
            </w:tcBorders>
            <w:tcMar>
              <w:bottom w:w="28" w:type="dxa"/>
            </w:tcMar>
            <w:vAlign w:val="center"/>
          </w:tcPr>
          <w:p>
            <w:pPr>
              <w:pStyle w:val="TableContents"/>
              <w:bidi w:val="0"/>
              <w:spacing w:before="0" w:after="283"/>
              <w:jc w:val="left"/>
              <w:rPr/>
            </w:pPr>
            <w:r>
              <w:rPr/>
              <w:t>/s/ Gary Schubert</w:t>
            </w:r>
          </w:p>
        </w:tc>
      </w:tr>
      <w:tr>
        <w:trPr/>
        <w:tc>
          <w:tcPr>
            <w:tcW w:w="263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758" w:type="dxa"/>
            <w:tcBorders/>
            <w:vAlign w:val="center"/>
          </w:tcPr>
          <w:p>
            <w:pPr>
              <w:pStyle w:val="TableContents"/>
              <w:bidi w:val="0"/>
              <w:spacing w:before="0" w:after="283"/>
              <w:jc w:val="left"/>
              <w:rPr/>
            </w:pPr>
            <w:r>
              <w:rPr/>
              <w:t>Gary Schubert</w:t>
            </w:r>
          </w:p>
        </w:tc>
      </w:tr>
      <w:tr>
        <w:trPr/>
        <w:tc>
          <w:tcPr>
            <w:tcW w:w="263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758" w:type="dxa"/>
            <w:tcBorders/>
            <w:vAlign w:val="center"/>
          </w:tcPr>
          <w:p>
            <w:pPr>
              <w:pStyle w:val="TableContents"/>
              <w:bidi w:val="0"/>
              <w:spacing w:before="0" w:after="283"/>
              <w:jc w:val="left"/>
              <w:rPr/>
            </w:pPr>
            <w:r>
              <w:rPr/>
              <w:t>Chief Executive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1184</Words>
  <Characters>6400</Characters>
  <CharactersWithSpaces>7589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