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160020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3660" w:right="1960" w:hanging="1686"/>
        <w:spacing w:after="0" w:line="282" w:lineRule="auto"/>
        <w:tabs>
          <w:tab w:leader="none" w:pos="22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and Exchange Act of 1934 For the quarterly period ended </w:t>
      </w:r>
      <w:r>
        <w:rPr>
          <w:rFonts w:ascii="Arial" w:cs="Arial" w:eastAsia="Arial" w:hAnsi="Arial"/>
          <w:sz w:val="18"/>
          <w:szCs w:val="18"/>
          <w:b w:val="1"/>
          <w:bCs w:val="1"/>
          <w:u w:val="single" w:color="auto"/>
          <w:color w:val="auto"/>
        </w:rPr>
        <w:t>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2" w:lineRule="exact"/>
        <w:rPr>
          <w:sz w:val="24"/>
          <w:szCs w:val="24"/>
          <w:color w:val="auto"/>
        </w:rPr>
      </w:pPr>
    </w:p>
    <w:p>
      <w:pPr>
        <w:ind w:left="3480" w:right="2820" w:hanging="653"/>
        <w:spacing w:after="0" w:line="312" w:lineRule="auto"/>
        <w:tabs>
          <w:tab w:leader="none" w:pos="3069"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Exchange Act For the transition period from _________ to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-295910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0-9376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INNOVATIVE FOOD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4780" w:type="dxa"/>
            <w:vAlign w:val="bottom"/>
            <w:gridSpan w:val="4"/>
          </w:tcPr>
          <w:p>
            <w:pPr>
              <w:jc w:val="center"/>
              <w:ind w:right="4220"/>
              <w:spacing w:after="0"/>
              <w:rPr>
                <w:sz w:val="20"/>
                <w:szCs w:val="20"/>
                <w:color w:val="auto"/>
              </w:rPr>
            </w:pPr>
            <w:r>
              <w:rPr>
                <w:rFonts w:ascii="Arial" w:cs="Arial" w:eastAsia="Arial" w:hAnsi="Arial"/>
                <w:sz w:val="18"/>
                <w:szCs w:val="18"/>
                <w:b w:val="1"/>
                <w:bCs w:val="1"/>
                <w:color w:val="auto"/>
                <w:w w:val="93"/>
              </w:rPr>
              <w:t>Florida</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20-1167761</w:t>
            </w:r>
          </w:p>
        </w:tc>
      </w:tr>
      <w:tr>
        <w:trPr>
          <w:trHeight w:val="20"/>
        </w:trPr>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6700" w:type="dxa"/>
            <w:vAlign w:val="bottom"/>
            <w:gridSpan w:val="5"/>
          </w:tcPr>
          <w:p>
            <w:pPr>
              <w:jc w:val="center"/>
              <w:ind w:right="23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(IRS Employer I.D. No.)</w:t>
            </w:r>
          </w:p>
        </w:tc>
      </w:tr>
      <w:tr>
        <w:trPr>
          <w:trHeight w:val="414"/>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28411 Race Track Rd.</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Bonita Springs, Florida 34135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2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254635</wp:posOffset>
            </wp:positionV>
            <wp:extent cx="282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765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w w:val="93"/>
              </w:rPr>
              <w:t>Securities registered pursuant to Section 12(b) of the Act: None.</w:t>
            </w: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7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1871345</wp:posOffset>
            </wp:positionH>
            <wp:positionV relativeFrom="paragraph">
              <wp:posOffset>-133350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8"/>
          <w:szCs w:val="18"/>
          <w:b w:val="1"/>
          <w:bCs w:val="1"/>
          <w:color w:val="auto"/>
        </w:rPr>
        <w:t>YES</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wp:posOffset>
            </wp:positionH>
            <wp:positionV relativeFrom="paragraph">
              <wp:posOffset>-133350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-133350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color w:val="auto"/>
              </w:rPr>
              <w:t>(Check One):</w:t>
            </w:r>
          </w:p>
        </w:tc>
        <w:tc>
          <w:tcPr>
            <w:tcW w:w="3500" w:type="dxa"/>
            <w:vAlign w:val="bottom"/>
          </w:tcPr>
          <w:p>
            <w:pPr>
              <w:spacing w:after="0"/>
              <w:rPr>
                <w:sz w:val="18"/>
                <w:szCs w:val="18"/>
                <w:color w:val="auto"/>
              </w:rPr>
            </w:pP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40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00" w:type="dxa"/>
            <w:vAlign w:val="bottom"/>
          </w:tcPr>
          <w:p>
            <w:pPr>
              <w:ind w:left="1860"/>
              <w:spacing w:after="0"/>
              <w:rPr>
                <w:sz w:val="20"/>
                <w:szCs w:val="20"/>
                <w:color w:val="auto"/>
              </w:rPr>
            </w:pPr>
            <w:r>
              <w:rPr>
                <w:rFonts w:ascii="Arial" w:cs="Arial" w:eastAsia="Arial" w:hAnsi="Arial"/>
                <w:sz w:val="18"/>
                <w:szCs w:val="18"/>
                <w:color w:val="auto"/>
              </w:rPr>
              <w:t>Accelerated filer</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080" w:type="dxa"/>
            <w:vAlign w:val="bottom"/>
            <w:gridSpan w:val="2"/>
          </w:tcPr>
          <w:p>
            <w:pPr>
              <w:ind w:left="186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283"/>
        </w:trPr>
        <w:tc>
          <w:tcPr>
            <w:tcW w:w="4040" w:type="dxa"/>
            <w:vAlign w:val="bottom"/>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3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Regulation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5802630</wp:posOffset>
            </wp:positionH>
            <wp:positionV relativeFrom="paragraph">
              <wp:posOffset>-86360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-86360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37,891,225 shares of common stock issued and 35,053,645 shares of common stock outstanding as of November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p>
      <w:pPr>
        <w:ind w:left="4040"/>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TABLE OF CONTENTS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20" w:type="dxa"/>
            <w:vAlign w:val="bottom"/>
            <w:vMerge w:val="continue"/>
          </w:tcPr>
          <w:p>
            <w:pPr>
              <w:spacing w:after="0"/>
              <w:rPr>
                <w:sz w:val="18"/>
                <w:szCs w:val="18"/>
                <w:color w:val="auto"/>
              </w:rPr>
            </w:pPr>
          </w:p>
        </w:tc>
        <w:tc>
          <w:tcPr>
            <w:tcW w:w="97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 of Stockholders’ Equity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220"/>
              <w:spacing w:after="0"/>
              <w:rPr>
                <w:rFonts w:ascii="Arial" w:cs="Arial" w:eastAsia="Arial" w:hAnsi="Arial"/>
                <w:sz w:val="18"/>
                <w:szCs w:val="18"/>
                <w:u w:val="single" w:color="auto"/>
                <w:color w:val="0000EE"/>
                <w:w w:val="98"/>
              </w:rPr>
            </w:pPr>
            <w:hyperlink w:anchor="page27">
              <w:r>
                <w:rPr>
                  <w:rFonts w:ascii="Arial" w:cs="Arial" w:eastAsia="Arial" w:hAnsi="Arial"/>
                  <w:sz w:val="18"/>
                  <w:szCs w:val="18"/>
                  <w:u w:val="single" w:color="auto"/>
                  <w:color w:val="0000EE"/>
                  <w:w w:val="98"/>
                </w:rPr>
                <w:t>Management’s Discussion and Analysis of Financial Condition and Results of Operations (including cautionary statement)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2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60" w:type="dxa"/>
            <w:vAlign w:val="bottom"/>
          </w:tcPr>
          <w:p>
            <w:pPr>
              <w:ind w:left="22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6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6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tcPr>
          <w:p>
            <w:pPr>
              <w:ind w:left="2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790"/>
        </w:trPr>
        <w:tc>
          <w:tcPr>
            <w:tcW w:w="92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 CONDENSED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ind w:left="4440"/>
              <w:spacing w:after="0"/>
              <w:rPr>
                <w:sz w:val="20"/>
                <w:szCs w:val="20"/>
                <w:color w:val="auto"/>
              </w:rPr>
            </w:pPr>
            <w:r>
              <w:rPr>
                <w:rFonts w:ascii="Arial" w:cs="Arial" w:eastAsia="Arial" w:hAnsi="Arial"/>
                <w:sz w:val="18"/>
                <w:szCs w:val="18"/>
                <w:b w:val="1"/>
                <w:bCs w:val="1"/>
                <w:color w:val="auto"/>
              </w:rPr>
              <w:t>Innovative Food Holdings,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4080"/>
              <w:spacing w:after="0"/>
              <w:rPr>
                <w:sz w:val="20"/>
                <w:szCs w:val="20"/>
                <w:color w:val="auto"/>
              </w:rPr>
            </w:pPr>
            <w:r>
              <w:rPr>
                <w:rFonts w:ascii="Arial" w:cs="Arial" w:eastAsia="Arial" w:hAnsi="Arial"/>
                <w:sz w:val="18"/>
                <w:szCs w:val="18"/>
                <w:b w:val="1"/>
                <w:bCs w:val="1"/>
                <w:color w:val="auto"/>
              </w:rPr>
              <w:t>Condensed Consolidated Balance Sheets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3,717,545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3,966,050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1,792,109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3,309,830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3,254,645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2,350,622</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9,137,359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9,900,191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8,355,674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6,645,389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480,900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435,225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to use assets, operating leases,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193,733</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Right to use assets, finance leases,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287,741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174,631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amortizable intangible assets,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1,342,741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Goodwill and other unamortizable intangible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20,163,447</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20,874,975</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4,049,953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4,009,956</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24,621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339,785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499,776</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 current portion, net of discount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1,473,403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727,766</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 operating leases, current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89,844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133,296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 finance leases, current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Contingent liability - current portion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8,217,642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5,604,599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 operating leases, non-current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181,107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 finance leases, non-current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251,462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154,905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liability - long-term</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Note payable - long term portion, net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6,545,319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15,320,130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9,857,578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&amp; Contingencies (see note 16)</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$0.0001 par value; 500,000,000 shares authorized; 37,891,225 and 37,210,859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w w:val="93"/>
              </w:rPr>
              <w:t>issued, and 35,053,645 and 34,373,279 shares outstanding at September 30, 2020 and 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2019, respectively</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37,267,757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36,889,818</w:t>
            </w:r>
          </w:p>
        </w:tc>
        <w:tc>
          <w:tcPr>
            <w:tcW w:w="0" w:type="dxa"/>
            <w:vAlign w:val="bottom"/>
          </w:tcPr>
          <w:p>
            <w:pPr>
              <w:spacing w:after="0"/>
              <w:rPr>
                <w:sz w:val="1"/>
                <w:szCs w:val="1"/>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rPr>
              <w:t>Treasury stock: 2,623,171 shares outstanding at September 30, 2020 and December 31, 2019,</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(1,141,370)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(1,141,370)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(31,286,855)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(24,734,769)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4,843,317</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11,017,397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20,163,447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20,874,975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For the Three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 the Three</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Nine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Nine</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426"/>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11,234,626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13,465,764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36,538,195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40,250,430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9,864,484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27,237,525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28,608,233</w:t>
            </w:r>
          </w:p>
        </w:tc>
        <w:tc>
          <w:tcPr>
            <w:tcW w:w="10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2,867,061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3,601,280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9,300,670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11,642,197</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4,466,631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3,754,012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13,974,822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11,560,838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4,466,631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3,754,012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15,673,774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11,560,838</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(152,732)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(6,373,104)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81,359</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leasing income</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10,977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32,833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fixed assets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12,495</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(54,749)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(17,377)</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(211,815)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(66,004)</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(178,982)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(53,509)</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before taxes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(157,614)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(6,552,086)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27,850</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(1,643,342)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(6,552,086)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27,850</w:t>
            </w:r>
          </w:p>
        </w:tc>
      </w:tr>
      <w:tr>
        <w:trPr>
          <w:trHeight w:val="196"/>
        </w:trPr>
        <w:tc>
          <w:tcPr>
            <w:tcW w:w="4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196"/>
        </w:trPr>
        <w:tc>
          <w:tcPr>
            <w:tcW w:w="4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197"/>
        </w:trPr>
        <w:tc>
          <w:tcPr>
            <w:tcW w:w="4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35,260,060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34,060,498</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34,739,378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34,021,245</w:t>
            </w:r>
          </w:p>
        </w:tc>
      </w:tr>
      <w:tr>
        <w:trPr>
          <w:trHeight w:val="197"/>
        </w:trPr>
        <w:tc>
          <w:tcPr>
            <w:tcW w:w="4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35,260,060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34,060,498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34,739,378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34,021,245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9600" w:type="dxa"/>
            <w:vAlign w:val="bottom"/>
            <w:gridSpan w:val="11"/>
          </w:tcPr>
          <w:p>
            <w:pPr>
              <w:ind w:left="2960"/>
              <w:spacing w:after="0"/>
              <w:rPr>
                <w:sz w:val="20"/>
                <w:szCs w:val="20"/>
                <w:color w:val="auto"/>
              </w:rPr>
            </w:pPr>
            <w:r>
              <w:rPr>
                <w:rFonts w:ascii="Arial" w:cs="Arial" w:eastAsia="Arial" w:hAnsi="Arial"/>
                <w:sz w:val="18"/>
                <w:szCs w:val="18"/>
                <w:color w:val="auto"/>
              </w:rPr>
              <w:t>See notes to these unaudited condensed consolidated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For the Nine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 the Nine</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Months Ended</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r>
      <w:tr>
        <w:trPr>
          <w:trHeight w:val="401"/>
        </w:trPr>
        <w:tc>
          <w:tcPr>
            <w:tcW w:w="80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(6,552,086)</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27,850</w:t>
            </w:r>
          </w:p>
        </w:tc>
      </w:tr>
      <w:tr>
        <w:trPr>
          <w:trHeight w:val="203"/>
        </w:trPr>
        <w:tc>
          <w:tcPr>
            <w:tcW w:w="80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1,698,952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567,803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921,096</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right-of-use asset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140,303</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Amortization of prepaid loan fees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 based compensation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297,503</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Gain on sale of fixed assets</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(12,495)</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(recovery) for doubtful accounts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(1,633)</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1,291,467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(183,787)</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 and other current assets, net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(1,049,069)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(444,183)</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(1,090,986)</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(159,991)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(361,741)</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Contingent liabilities</w:t>
            </w:r>
          </w:p>
        </w:tc>
        <w:tc>
          <w:tcPr>
            <w:tcW w:w="1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(32,000)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liability</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(137,712)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(140,303)</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ind w:left="180"/>
              <w:spacing w:after="0"/>
              <w:rPr>
                <w:sz w:val="20"/>
                <w:szCs w:val="20"/>
                <w:color w:val="auto"/>
              </w:rPr>
            </w:pPr>
            <w:r>
              <w:rPr>
                <w:rFonts w:ascii="Arial" w:cs="Arial" w:eastAsia="Arial" w:hAnsi="Arial"/>
                <w:sz w:val="16"/>
                <w:szCs w:val="16"/>
                <w:b w:val="1"/>
                <w:bCs w:val="1"/>
                <w:color w:val="auto"/>
              </w:rPr>
              <w:t>Net cash used in operating activities</w:t>
            </w:r>
          </w:p>
        </w:tc>
        <w:tc>
          <w:tcPr>
            <w:tcW w:w="1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(3,573,616)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(848,376)</w:t>
            </w:r>
          </w:p>
        </w:tc>
      </w:tr>
      <w:tr>
        <w:trPr>
          <w:trHeight w:val="196"/>
        </w:trPr>
        <w:tc>
          <w:tcPr>
            <w:tcW w:w="80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website development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Cash received from the sale of fixed assets</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12,495</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property and equipment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(128,618)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(131,095)</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Purchase of intangible assets</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(47,000)</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food related company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(35,200)</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ind w:left="18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(142,618)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(200,800)</w:t>
            </w:r>
          </w:p>
        </w:tc>
      </w:tr>
      <w:tr>
        <w:trPr>
          <w:trHeight w:val="196"/>
        </w:trPr>
        <w:tc>
          <w:tcPr>
            <w:tcW w:w="80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common stock</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Cash paid in settlement of contingent liabilities in connection with acquisitions</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(296,719)</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note payable</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Proceeds from line of credit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Payroll Protection Plan Loan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1,650,221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Principal payments on debt</w:t>
            </w:r>
          </w:p>
        </w:tc>
        <w:tc>
          <w:tcPr>
            <w:tcW w:w="1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(149,705)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(818,819)</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financing leases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(19,108)</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ind w:left="1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3,467,729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(884,646)</w:t>
            </w:r>
          </w:p>
        </w:tc>
      </w:tr>
      <w:tr>
        <w:trPr>
          <w:trHeight w:val="196"/>
        </w:trPr>
        <w:tc>
          <w:tcPr>
            <w:tcW w:w="80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1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(248,505)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(1,933,822)</w:t>
            </w:r>
          </w:p>
        </w:tc>
      </w:tr>
      <w:tr>
        <w:trPr>
          <w:trHeight w:val="203"/>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3,966,050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4,759,817</w:t>
            </w:r>
          </w:p>
        </w:tc>
      </w:tr>
      <w:tr>
        <w:trPr>
          <w:trHeight w:val="196"/>
        </w:trPr>
        <w:tc>
          <w:tcPr>
            <w:tcW w:w="80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3,717,545</w:t>
            </w:r>
          </w:p>
        </w:tc>
        <w:tc>
          <w:tcPr>
            <w:tcW w:w="120" w:type="dxa"/>
            <w:vAlign w:val="bottom"/>
          </w:tcPr>
          <w:p>
            <w:pPr>
              <w:spacing w:after="0"/>
              <w:rPr>
                <w:sz w:val="17"/>
                <w:szCs w:val="17"/>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2,825,995</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jc w:val="right"/>
              <w:ind w:right="39"/>
              <w:spacing w:after="0"/>
              <w:rPr>
                <w:sz w:val="20"/>
                <w:szCs w:val="20"/>
                <w:color w:val="auto"/>
              </w:rPr>
            </w:pPr>
            <w:r>
              <w:rPr>
                <w:rFonts w:ascii="Arial" w:cs="Arial" w:eastAsia="Arial" w:hAnsi="Arial"/>
                <w:sz w:val="16"/>
                <w:szCs w:val="16"/>
                <w:color w:val="auto"/>
              </w:rPr>
              <w:t>Supplemental disclosure of cash flow information: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jc w:val="right"/>
              <w:ind w:right="39"/>
              <w:spacing w:after="0"/>
              <w:rPr>
                <w:sz w:val="20"/>
                <w:szCs w:val="20"/>
                <w:color w:val="auto"/>
              </w:rPr>
            </w:pPr>
            <w:r>
              <w:rPr>
                <w:rFonts w:ascii="Arial" w:cs="Arial" w:eastAsia="Arial" w:hAnsi="Arial"/>
                <w:sz w:val="16"/>
                <w:szCs w:val="16"/>
                <w:color w:val="auto"/>
              </w:rPr>
              <w:t>Cash paid during the period for:</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2"/>
        </w:trPr>
        <w:tc>
          <w:tcPr>
            <w:tcW w:w="8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196,392</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68,812</w:t>
            </w:r>
          </w:p>
        </w:tc>
      </w:tr>
      <w:tr>
        <w:trPr>
          <w:trHeight w:val="183"/>
        </w:trPr>
        <w:tc>
          <w:tcPr>
            <w:tcW w:w="80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43"/>
        </w:trPr>
        <w:tc>
          <w:tcPr>
            <w:tcW w:w="8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Taxes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3"/>
        </w:trPr>
        <w:tc>
          <w:tcPr>
            <w:tcW w:w="80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Issuance of 131,136 shares of common stock previously accrued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93,666</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Right to use assets and liabilities - operating, upon adoption of ASU 2016-02</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3"/>
        </w:trPr>
        <w:tc>
          <w:tcPr>
            <w:tcW w:w="8000" w:type="dxa"/>
            <w:vAlign w:val="bottom"/>
          </w:tcPr>
          <w:p>
            <w:pPr>
              <w:spacing w:after="0"/>
              <w:rPr>
                <w:sz w:val="20"/>
                <w:szCs w:val="20"/>
                <w:color w:val="auto"/>
              </w:rPr>
            </w:pPr>
            <w:r>
              <w:rPr>
                <w:rFonts w:ascii="Arial" w:cs="Arial" w:eastAsia="Arial" w:hAnsi="Arial"/>
                <w:sz w:val="16"/>
                <w:szCs w:val="16"/>
                <w:color w:val="auto"/>
              </w:rPr>
              <w:t>Equipment financed under note payable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1,900,000</w:t>
            </w:r>
          </w:p>
        </w:tc>
        <w:tc>
          <w:tcPr>
            <w:tcW w:w="120" w:type="dxa"/>
            <w:vAlign w:val="bottom"/>
          </w:tcPr>
          <w:p>
            <w:pPr>
              <w:spacing w:after="0"/>
              <w:rPr>
                <w:sz w:val="15"/>
                <w:szCs w:val="15"/>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Return of equipment and reduction in amount due under equipment financing loan</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3"/>
        </w:trPr>
        <w:tc>
          <w:tcPr>
            <w:tcW w:w="8000" w:type="dxa"/>
            <w:vAlign w:val="bottom"/>
          </w:tcPr>
          <w:p>
            <w:pPr>
              <w:spacing w:after="0"/>
              <w:rPr>
                <w:sz w:val="20"/>
                <w:szCs w:val="20"/>
                <w:color w:val="auto"/>
              </w:rPr>
            </w:pPr>
            <w:r>
              <w:rPr>
                <w:rFonts w:ascii="Arial" w:cs="Arial" w:eastAsia="Arial" w:hAnsi="Arial"/>
                <w:sz w:val="16"/>
                <w:szCs w:val="16"/>
                <w:color w:val="auto"/>
              </w:rPr>
              <w:t>Fair value of 9,524 shares of common stock issued for services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5,143</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Increase in right of use assets &amp; liabilities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214,930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3"/>
        </w:trPr>
        <w:tc>
          <w:tcPr>
            <w:tcW w:w="8000" w:type="dxa"/>
            <w:vAlign w:val="bottom"/>
          </w:tcPr>
          <w:p>
            <w:pPr>
              <w:spacing w:after="0"/>
              <w:rPr>
                <w:sz w:val="20"/>
                <w:szCs w:val="20"/>
                <w:color w:val="auto"/>
              </w:rPr>
            </w:pPr>
            <w:r>
              <w:rPr>
                <w:rFonts w:ascii="Arial" w:cs="Arial" w:eastAsia="Arial" w:hAnsi="Arial"/>
                <w:sz w:val="16"/>
                <w:szCs w:val="16"/>
                <w:color w:val="auto"/>
              </w:rPr>
              <w:t>Investment in food related company</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45,675</w:t>
            </w:r>
          </w:p>
        </w:tc>
        <w:tc>
          <w:tcPr>
            <w:tcW w:w="120" w:type="dxa"/>
            <w:vAlign w:val="bottom"/>
          </w:tcPr>
          <w:p>
            <w:pPr>
              <w:spacing w:after="0"/>
              <w:rPr>
                <w:sz w:val="15"/>
                <w:szCs w:val="15"/>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45,500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Capital lease for purchase of fixed assets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152,548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these unaudited condensed consolidated financial statements.</w:t>
      </w:r>
    </w:p>
    <w:p>
      <w:pPr>
        <w:sectPr>
          <w:pgSz w:w="11900" w:h="16838" w:orient="portrait"/>
          <w:cols w:equalWidth="0" w:num="1">
            <w:col w:w="11240"/>
          </w:cols>
          <w:pgMar w:left="320" w:top="125" w:right="339" w:bottom="784"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84"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STOCKHOLDERS' EQUITY FOR THE THREE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 SEPTEMBER 30, 2019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Paid-in</w:t>
            </w:r>
          </w:p>
        </w:tc>
        <w:tc>
          <w:tcPr>
            <w:tcW w:w="21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2019 (unaudited)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36,427,354</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$36,421,970</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2,373,171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(24,772,072)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10,637,168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5,142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sold for cash</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349,650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249,966</w:t>
            </w: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3"/>
              </w:rPr>
              <w:t>Fair value of vested stock and stock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96,108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96,108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for the three months ended</w:t>
            </w:r>
          </w:p>
        </w:tc>
        <w:tc>
          <w:tcPr>
            <w:tcW w:w="12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(157,614)</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(157,614)</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0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b w:val="1"/>
                <w:bCs w:val="1"/>
                <w:color w:val="auto"/>
                <w:w w:val="91"/>
              </w:rPr>
              <w:t>Balance - September 30, 2019 (unaudited)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36,786,528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36,773,186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2,373,171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(1,016,370)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(24,929,686)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10,830,805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 (unaudited)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37,556,746</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$ 37,110,893</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2,623,171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$(1,141,370)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(29,643,513)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6,329,762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3"/>
              </w:rPr>
              <w:t>Fair value of vested stock and stock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334,479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156,864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156,897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shares to employees, previously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0"/>
              </w:rPr>
              <w:t>Fair value of shares issued to employees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service providers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for the three months ended</w:t>
            </w:r>
          </w:p>
        </w:tc>
        <w:tc>
          <w:tcPr>
            <w:tcW w:w="12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(1,643,342)</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3"/>
              </w:rPr>
              <w:t>(1,643,342)</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0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b w:val="1"/>
                <w:bCs w:val="1"/>
                <w:color w:val="auto"/>
                <w:w w:val="91"/>
              </w:rPr>
              <w:t>Balance - September 30, 2020 (unaudited)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37,891,225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3,785</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37,267,757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2,623,171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(1,141,370)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(31,286,855)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4,843,317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280" w:type="dxa"/>
            <w:vAlign w:val="bottom"/>
          </w:tcPr>
          <w:p>
            <w:pPr>
              <w:spacing w:after="0"/>
              <w:rPr>
                <w:sz w:val="24"/>
                <w:szCs w:val="24"/>
                <w:color w:val="auto"/>
              </w:rPr>
            </w:pPr>
          </w:p>
        </w:tc>
        <w:tc>
          <w:tcPr>
            <w:tcW w:w="460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STOCKHOLDERS' EQUITY FOR THE NINE MONTHS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10"/>
          </w:tcPr>
          <w:p>
            <w:pPr>
              <w:jc w:val="right"/>
              <w:ind w:right="680"/>
              <w:spacing w:after="0"/>
              <w:rPr>
                <w:sz w:val="20"/>
                <w:szCs w:val="20"/>
                <w:color w:val="auto"/>
              </w:rPr>
            </w:pPr>
            <w:r>
              <w:rPr>
                <w:rFonts w:ascii="Arial" w:cs="Arial" w:eastAsia="Arial" w:hAnsi="Arial"/>
                <w:sz w:val="18"/>
                <w:szCs w:val="18"/>
                <w:b w:val="1"/>
                <w:bCs w:val="1"/>
                <w:color w:val="auto"/>
              </w:rPr>
              <w:t>ENDED SEPTEMBER 30, 2019 AND 2020</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Paid-in</w:t>
            </w:r>
          </w:p>
        </w:tc>
        <w:tc>
          <w:tcPr>
            <w:tcW w:w="21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36,296,218</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$36,132,065</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2,373,171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(24,957,536)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10,161,786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5,142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sold for cash</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349,650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249,966</w:t>
            </w: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2"/>
              </w:rPr>
              <w:t>Issuance of shares to employees, previously</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accrued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131,136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93,653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93,666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Fair value of vested stock and stock options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issued to management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292,360</w:t>
            </w:r>
          </w:p>
        </w:tc>
        <w:tc>
          <w:tcPr>
            <w:tcW w:w="8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292,360</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Net income for the nine months ended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27,850</w:t>
            </w:r>
          </w:p>
        </w:tc>
        <w:tc>
          <w:tcPr>
            <w:tcW w:w="2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27,850</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September 30, 2019</w:t>
            </w: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Balance - September 30, 2019 (unaudited)</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36,786,528</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36,773,186</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2,373,171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(24,929,686)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10,830,805</w:t>
            </w: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3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 December 31, 2019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37,210,859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$36,889,818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2,623,171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$(1,141,370)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(24,734,769)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11,017,397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of vested stock and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636,163</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358,522</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358,585</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2"/>
              </w:rPr>
              <w:t>Issuance of shares to employees, previously</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accrued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Fair value of shares issued to employees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service providers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43,705</w:t>
            </w: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19,417</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19,421</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Net loss for the nine months ended</w:t>
            </w:r>
          </w:p>
        </w:tc>
        <w:tc>
          <w:tcPr>
            <w:tcW w:w="120" w:type="dxa"/>
            <w:vAlign w:val="bottom"/>
            <w:vMerge w:val="restart"/>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(6,552,086)</w:t>
            </w:r>
          </w:p>
        </w:tc>
        <w:tc>
          <w:tcPr>
            <w:tcW w:w="100" w:type="dxa"/>
            <w:vAlign w:val="bottom"/>
          </w:tcPr>
          <w:p>
            <w:pPr>
              <w:spacing w:after="0"/>
              <w:rPr>
                <w:sz w:val="17"/>
                <w:szCs w:val="17"/>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3"/>
              </w:rPr>
              <w:t>(6,552,086)</w:t>
            </w:r>
          </w:p>
        </w:tc>
        <w:tc>
          <w:tcPr>
            <w:tcW w:w="0" w:type="dxa"/>
            <w:vAlign w:val="bottom"/>
          </w:tcPr>
          <w:p>
            <w:pPr>
              <w:spacing w:after="0"/>
              <w:rPr>
                <w:sz w:val="1"/>
                <w:szCs w:val="1"/>
                <w:color w:val="auto"/>
              </w:rPr>
            </w:pPr>
          </w:p>
        </w:tc>
      </w:t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September 30, 2020</w:t>
            </w: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Balance - September 30, 2020 (unaudited)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37,891,225</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37,267,757</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2,623,171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(1,141,370)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(31,286,855)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4,843,317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of Innovative Food Holdings, Inc., and its wholly owned subsidiaries, some of which are non-operating, Artisan Specialty Foods, Inc. (“Artisan”), Food Innovations, Inc. (“FII”), Food New Media Group, Inc. (“FNM”), Organic Food Brokers, LLC (“OFB”), Gourmet Food Service Group, Inc. (“GFG”), Gourmet Foodservice Warehouse, Inc. (“GFW”), Gourmeting, Inc. (“Gourmeting”), The Haley Group, Inc. (“Haley”), Oasis Sales Corp. (“Oasis”), 4 The Gourmet, Inc. (d/b/a For The Gourmet, Inc.), (“Gourmet”), Innovative Food Properties, LLC (“IFP”), Innovative Gourmet, LLC (“Innovative Gourmet” or “igourmet”), Food Funding, LLC (“Food Funding”), Logistics Innovations, LLC (L Innovations”), M Innovations, LLC (“M Innovations”), P Innovations, LLC (“P Innovations”),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by the Company,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2019. In the opinion of management, the interim unaudited condensed consolidated financial statements reflect all adjustments, including normal recurring adjustments, necessary for fair presentation of the interim periods presented. The results of the operations for the three and nine months ended September 30, 2020 are not necessarily indicative of the results of operations to be expected for the full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NATURE OF ACTIVITIES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currently conducted by our wholly-owned subsidiaries, Artisan, FII, FNM, OFB, GFG, GFW, Gourmeting, Haley, Oasis, Gourmet, IFP, igourmet, Food Funding, L Innovations, M Innovations, (sometimes referred to herein as “Mouth” or ” Mouth.com”), and P Innovations (collectively, IVFH and its subsidiaries, the “Company” or “IVFH”).</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FII, though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GFG is focused on expanding the Company’s program offerings to additional specialty foodservice customers.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PA.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igourmet has been in the business of providing DTC specialty food via e-commerce through its own website at www.igourmet.com and through other channels such as www.amazon.com, www.ebay.com, and www.walmart.com. In addition, igourmet.com offers a line of B2B specialty foodservice items. Products are primarily shipped directly from igourmet’s 67,000 square feet warehouse in Pennsylvania via igourmet.com owned trucks and via third party carrier directly to thousands of customers nationwide.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 Innovations provides 3rd party warehouse and fulfillment services, out of its first location at the Company’s Mountaintop, Pennsylvania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operating right of use assets and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Innovative Food Holdings, Inc., and its wholly owned operating subsidiaries, Artisan, FII, FNM, OFB, GFG, GFW, Gourmeting, Haley, Oasis, Innovative Gourmet, IFP, Food Funding, M Innovations, P Innovations, L Innovations, and Gourmet. All material intercompany transactions have been eliminated upon consolidation of these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September 30, 2020 and December 31, 2019, trade receivables from the Company’s largest customer amounted to 46% and 35%, respectively, of total trade receivables. During the three months ended September 30, 2020 and 2019, sales from the Company’s largest customer amounted to 46% and 60% of total sales, respectively. During the nine months ended September 30, 2020 and 2019, sales from the Company’s largest customer amounted to 43% and 60% of total sales,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cash balances in excess of Federal Deposit Insurance Corporation limits. At September 30, 2020, the total cash in excess of these limits was $2,611,355.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conform prior period data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revenue from product sales, the Company recognizes revenue in accordance with Financial Accounting Standards Board “FASB” Accounting Standards Codification “ASC” 606. A five-step analysis a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 Adoption of ASC 606 had no material effect on the Company’s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are issued by the Company generally do not have expiration dates.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559,315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93,580</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(375,500)</w:t>
            </w:r>
          </w:p>
        </w:tc>
      </w:tr>
      <w:tr>
        <w:trPr>
          <w:trHeight w:val="209"/>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March 31, 2019 (unaudited)</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277,395</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received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225,064</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Net sales recognized</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(221,531)</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2019 (unaudited)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7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received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Net sales recognized</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(203,699)</w:t>
            </w:r>
          </w:p>
        </w:tc>
      </w:tr>
      <w:tr>
        <w:trPr>
          <w:trHeight w:val="249"/>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2019 (unaudited)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7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499,776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200,300</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(341,620)</w:t>
            </w:r>
          </w:p>
        </w:tc>
      </w:tr>
      <w:tr>
        <w:trPr>
          <w:trHeight w:val="209"/>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March 31, 2020 (unaudited)</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358,456</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received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Net sales recognized</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(265,505)</w:t>
            </w:r>
          </w:p>
        </w:tc>
      </w:tr>
      <w:tr>
        <w:trPr>
          <w:trHeight w:val="249"/>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2020 (unaudited)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227,821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7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received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280,297</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Net sales recognized</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(168,333)</w:t>
            </w:r>
          </w:p>
        </w:tc>
      </w:tr>
      <w:tr>
        <w:trPr>
          <w:trHeight w:val="249"/>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 (unaudited)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339,785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for the three and nine months ended September 30, 2020 and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foodservice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6,733,182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11,574,373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4,158,028</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1,572,031</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Brand Management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253,888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319,360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Logistics</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89,528</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11,234,626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13,465,764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Nine Months Ended</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foodservice</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20,751,215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33,542,367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14,489,971</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5,452,024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Brand Management</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787,053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1,256,039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Logistics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509,956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36,538,195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40,250,430</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26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jc w:val="right"/>
              <w:ind w:right="99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Earnings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September 30, 2020:</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6"/>
              </w:rPr>
              <w:t>Exercise</w:t>
            </w:r>
          </w:p>
        </w:tc>
        <w:tc>
          <w:tcPr>
            <w:tcW w:w="298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Number</w:t>
            </w: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28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of Options</w:t>
            </w:r>
          </w:p>
        </w:tc>
        <w:tc>
          <w:tcPr>
            <w:tcW w:w="18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r>
      <w:tr>
        <w:trPr>
          <w:trHeight w:val="210"/>
        </w:trPr>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80"/>
              <w:spacing w:after="0"/>
              <w:rPr>
                <w:sz w:val="20"/>
                <w:szCs w:val="20"/>
                <w:color w:val="auto"/>
              </w:rPr>
            </w:pPr>
            <w:r>
              <w:rPr>
                <w:rFonts w:ascii="Arial" w:cs="Arial" w:eastAsia="Arial" w:hAnsi="Arial"/>
                <w:sz w:val="18"/>
                <w:szCs w:val="18"/>
                <w:color w:val="auto"/>
              </w:rPr>
              <w:t>0.85</w:t>
            </w:r>
          </w:p>
        </w:tc>
        <w:tc>
          <w:tcPr>
            <w:tcW w:w="2800" w:type="dxa"/>
            <w:vAlign w:val="bottom"/>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tcPr>
          <w:p>
            <w:pPr>
              <w:spacing w:after="0"/>
              <w:rPr>
                <w:sz w:val="18"/>
                <w:szCs w:val="18"/>
                <w:color w:val="auto"/>
              </w:rPr>
            </w:pP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r>
      <w:tr>
        <w:trPr>
          <w:trHeight w:val="216"/>
        </w:trPr>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2800" w:type="dxa"/>
            <w:vAlign w:val="bottom"/>
          </w:tcPr>
          <w:p>
            <w:pPr>
              <w:jc w:val="right"/>
              <w:spacing w:after="0"/>
              <w:rPr>
                <w:sz w:val="20"/>
                <w:szCs w:val="20"/>
                <w:color w:val="auto"/>
              </w:rPr>
            </w:pPr>
            <w:r>
              <w:rPr>
                <w:rFonts w:ascii="Arial" w:cs="Arial" w:eastAsia="Arial" w:hAnsi="Arial"/>
                <w:sz w:val="18"/>
                <w:szCs w:val="18"/>
                <w:color w:val="auto"/>
              </w:rPr>
              <w:t>1,050,000</w:t>
            </w:r>
          </w:p>
        </w:tc>
        <w:tc>
          <w:tcPr>
            <w:tcW w:w="180" w:type="dxa"/>
            <w:vAlign w:val="bottom"/>
          </w:tcPr>
          <w:p>
            <w:pPr>
              <w:spacing w:after="0"/>
              <w:rPr>
                <w:sz w:val="18"/>
                <w:szCs w:val="18"/>
                <w:color w:val="auto"/>
              </w:rPr>
            </w:pP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0"/>
        </w:trPr>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2,150,000</w:t>
            </w:r>
          </w:p>
        </w:tc>
        <w:tc>
          <w:tcPr>
            <w:tcW w:w="180" w:type="dxa"/>
            <w:vAlign w:val="bottom"/>
          </w:tcPr>
          <w:p>
            <w:pPr>
              <w:spacing w:after="0"/>
              <w:rPr>
                <w:sz w:val="18"/>
                <w:szCs w:val="18"/>
                <w:color w:val="auto"/>
              </w:rPr>
            </w:pP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0"/>
        </w:trPr>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2020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2020, the Company incurred obligations to issue the following shares of common stock pursuant to compensation agreements: an aggregate total of 104,892 shares of common stock to board members, an aggregate total of 531,271 shares to Executive Officers, 39,441 to employees, and 4,264 to a service provider. Some of these shares or other shares owned by the Company’s employees are included in a 10b5-1 plan. The Company charged the amount of $156,897 and $378,006 to operations in connection with stock-based compensation during the three and nine months ended September 30,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September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September 30, 2019:</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6"/>
              </w:rPr>
              <w:t>Exercise</w:t>
            </w:r>
          </w:p>
        </w:tc>
        <w:tc>
          <w:tcPr>
            <w:tcW w:w="29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Number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27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of Options</w:t>
            </w:r>
          </w:p>
        </w:tc>
        <w:tc>
          <w:tcPr>
            <w:tcW w:w="16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09"/>
        </w:trPr>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r>
      <w:tr>
        <w:trPr>
          <w:trHeight w:val="216"/>
        </w:trPr>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29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28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0.85</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r>
      <w:tr>
        <w:trPr>
          <w:trHeight w:val="216"/>
        </w:trPr>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0.95</w:t>
            </w:r>
          </w:p>
        </w:tc>
        <w:tc>
          <w:tcPr>
            <w:tcW w:w="29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28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r>
      <w:tr>
        <w:trPr>
          <w:trHeight w:val="216"/>
        </w:trPr>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780" w:type="dxa"/>
            <w:vAlign w:val="bottom"/>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tcPr>
          <w:p>
            <w:pPr>
              <w:spacing w:after="0"/>
              <w:rPr>
                <w:sz w:val="18"/>
                <w:szCs w:val="18"/>
                <w:color w:val="auto"/>
              </w:rPr>
            </w:pPr>
          </w:p>
        </w:tc>
        <w:tc>
          <w:tcPr>
            <w:tcW w:w="284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r>
      <w:tr>
        <w:trPr>
          <w:trHeight w:val="216"/>
        </w:trPr>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r>
      <w:tr>
        <w:trPr>
          <w:trHeight w:val="216"/>
        </w:trPr>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78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28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278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28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r>
      <w:tr>
        <w:trPr>
          <w:trHeight w:val="20"/>
        </w:trPr>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2,575,000</w:t>
            </w:r>
          </w:p>
        </w:tc>
        <w:tc>
          <w:tcPr>
            <w:tcW w:w="160" w:type="dxa"/>
            <w:vAlign w:val="bottom"/>
          </w:tcPr>
          <w:p>
            <w:pPr>
              <w:spacing w:after="0"/>
              <w:rPr>
                <w:sz w:val="18"/>
                <w:szCs w:val="18"/>
                <w:color w:val="auto"/>
              </w:rPr>
            </w:pPr>
          </w:p>
        </w:tc>
        <w:tc>
          <w:tcPr>
            <w:tcW w:w="284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2019 there are an additional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2019, the Company incurred obligations to issue the following shares of common stock pursuant to employment agreements: an aggregate total of 218,175 shares of common stock to its Chief Executive Officer and to its Director of Strategic Acquisitions; an aggregate total 72,774 shares to board members; and 41,991 shares to an employee.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Recent Accounting Pronouncements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the FASB issued ASU No. 2017-04, Simplifying the Test for Goodwill Impairment (“ASU No. 2017-04”), which simplifies the subsequent measurement of goodwill by eliminating Step 2 from the goodwill impairment test. In computing the implied fair value of goodwill under Step 2, current U.S. GAAP requires the performance of procedures to determine the fair value at the impairment testing date of assets and liabilities (including unrecognized assets and liabilities) following the procedure that would be required in determining the fair value of assets acquired and liabilities assumed in a business combination. Instead, the amendments under this ASU require the goodwill impairment test to be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This ASU became effective January 1, 2020. The adoption of ASU No. 2017-04 did not have a material impact on our results of operations, cash flows, or financial condition.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GBC Sub, Inc. (d/b/a TheGiftBox)</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 As a result, during the preliminary purchase price allocation period, which may be up to one year from the asset purchase date, we may record adjustments to the assets acquired. On August 4, 2020, the Company paid the amount of $29,900 representing a deposit on certain inventory of GiftBox.</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Mouth Foods,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6, 2018, M Innovations acquired certain assets of Mouth Foods, Inc. from MFI (assignment for the benefit of creditors), LLC (“MFI”), the assignee of Mouth Foods, Inc.’s assets in connection with a Delaware assignment proceeding, pursuant to the terms of an Asset Purchase Agreement (“MFI APA”). The MFI APA was accounted for as an acquisition of an ongoing business in accordance with ASC Topic 805 - Business Combinations (“ASC 805”), where the Company was treated as the acquirer and the acquired assets and assumed liabilities were recorded by the Company at their preliminary estimated fair values. Mouth Foods, Inc., was a privately held New York company operating out of Brooklyn, was an expert curator and online retailer of high quality specialty foods from small-batch makers in the US.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acquisition date estimated fair value of the consideration transferred totaled $513,355. During the year ended December 31, 2018, the Company changed the original allocation of the purchase price among the assets acquired. The reallocated purchase price consisted of the following:</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Contingent liability – payable to debt holder</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liabilities – payable to sellers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Additional Contingent Liabilities</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7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assets acquired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Intangible assets acquired</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419,926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acquired</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36,429</w:t>
            </w:r>
          </w:p>
        </w:tc>
      </w:tr>
      <w:tr>
        <w:trPr>
          <w:trHeight w:val="209"/>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above estimated fair value of the intangible assets is based on management’s estimates. Going forward, adjustments to assets acquired or liabilities assumed subsequent to the purchase price allocation period will be made in our operating results in the period in which the adjustments are determined. During the first quarter of 2020, the Company performed a goodwill impairment test based upon future growth projections which include estimates of COVID-19’s impact on our business. As a result of impairment test, the Company recorded an impairment of the intangible assets related to the Mouth Foods acquisition in the amount of $104,018 (see note 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igourmet,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igourmet Asset Purchase Agreement effective January 23, 2018 (the “igourmet APA”) was accounted for as an acquisition of an ongoing business in accordance with ASC Topic 805 - Business Combinations (“ASC 805”), where the Company was treated as the acquirer and the acquired assets and certain liabilities not purchased or assumed by Innovative Gourmet, which under certain circumstances, Innovative Gourmet may determine to pay, were recorded by the Company at their preliminary estimated fair values.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consideration for and in connection with the igourmet APA consisted of: (i) $1,500,000, which satisfied or reduced secured, priority and administrative debt of sellers; (ii) in connection with and prior to the acquisition, our wholly-owned subsidiary, Food Funding, funded advances of $325,500 to sellers on a secured basis, pursuant to certain loan documents and as bridge loans, which loans were reduced by the proceeds of the igourmet APA;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$800,000 thousand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additional purchase price consolidation milestone for 2018 and 2019 were not met. The EBITDA based earnout shall be paid 37.5% in cash, 25% in Innovative Food Holdings shares valued at the time of the closing of this transaction and 37.5%, at Innovative Gourmet’s option, in Innovative Food Holdings shares valued at the time of the payment of the earnout or in cash.</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igourmet APA, our wholly-owned subsidiary, Food Funding, purchased seller’s senior secured note at a price of approximately $1,187,000, pursuant to the terms of a Loan Sale Agreement with UPS Capital Business Credit. That note was reduced by the proceeds of the igourmet APA as disclosed in (i)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acquisition date estimated fair value of the consideration transferred totaled $4,151,243. During the year ended December 31, 2018, the Company made the following purchase price adjustments: (i) accrued an additional $286,239 for accounts payable prior to acquisition; (ii) decreased contingent liabilities by the amount of $392,900 for earnout payments not made; (iii) decreased accounts receivable in the amount of $108,893 for amounts not collected; and (4) increased deferred revenue in the amount of $231,169 for shipments made. These adjustments increased the value of the acquisition to $4,275,751. At December 31, 2018, the value of the acquisition consisted of the following:</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Initial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Cash payable in connection with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20320</wp:posOffset>
            </wp:positionV>
            <wp:extent cx="57003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Contingent liabilities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798" w:hanging="798"/>
        <w:spacing w:after="0"/>
        <w:tabs>
          <w:tab w:leader="none" w:pos="798" w:val="left"/>
        </w:tabs>
        <w:numPr>
          <w:ilvl w:val="0"/>
          <w:numId w:val="3"/>
        </w:numPr>
        <w:rPr>
          <w:rFonts w:ascii="Arial" w:cs="Arial" w:eastAsia="Arial" w:hAnsi="Arial"/>
          <w:sz w:val="16"/>
          <w:szCs w:val="16"/>
          <w:color w:val="auto"/>
        </w:rPr>
      </w:pPr>
      <w:r>
        <w:rPr>
          <w:rFonts w:ascii="Arial" w:cs="Arial" w:eastAsia="Arial" w:hAnsi="Arial"/>
          <w:sz w:val="16"/>
          <w:szCs w:val="16"/>
          <w:color w:val="auto"/>
        </w:rPr>
        <w:t>1,500,000</w:t>
      </w:r>
    </w:p>
    <w:p>
      <w:pPr>
        <w:spacing w:after="0" w:line="46" w:lineRule="exact"/>
        <w:rPr>
          <w:rFonts w:ascii="Arial" w:cs="Arial" w:eastAsia="Arial" w:hAnsi="Arial"/>
          <w:sz w:val="16"/>
          <w:szCs w:val="16"/>
          <w:color w:val="auto"/>
        </w:rPr>
      </w:pPr>
    </w:p>
    <w:p>
      <w:pPr>
        <w:ind w:left="798"/>
        <w:spacing w:after="0"/>
        <w:rPr>
          <w:rFonts w:ascii="Arial" w:cs="Arial" w:eastAsia="Arial" w:hAnsi="Arial"/>
          <w:sz w:val="16"/>
          <w:szCs w:val="16"/>
          <w:color w:val="auto"/>
        </w:rPr>
      </w:pPr>
      <w:r>
        <w:rPr>
          <w:rFonts w:ascii="Arial" w:cs="Arial" w:eastAsia="Arial" w:hAnsi="Arial"/>
          <w:sz w:val="16"/>
          <w:szCs w:val="16"/>
          <w:color w:val="auto"/>
        </w:rPr>
        <w:t>1,863,443</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286,239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231,169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394,900</w:t>
      </w:r>
    </w:p>
    <w:p>
      <w:pPr>
        <w:spacing w:after="0" w:line="32" w:lineRule="exact"/>
        <w:rPr>
          <w:sz w:val="20"/>
          <w:szCs w:val="20"/>
          <w:color w:val="auto"/>
        </w:rPr>
      </w:pPr>
    </w:p>
    <w:p>
      <w:pPr>
        <w:ind w:left="798" w:hanging="798"/>
        <w:spacing w:after="0"/>
        <w:tabs>
          <w:tab w:leader="none" w:pos="798" w:val="left"/>
        </w:tabs>
        <w:numPr>
          <w:ilvl w:val="0"/>
          <w:numId w:val="4"/>
        </w:numPr>
        <w:rPr>
          <w:rFonts w:ascii="Arial" w:cs="Arial" w:eastAsia="Arial" w:hAnsi="Arial"/>
          <w:sz w:val="16"/>
          <w:szCs w:val="16"/>
          <w:color w:val="auto"/>
        </w:rPr>
      </w:pPr>
      <w:r>
        <w:rPr>
          <w:rFonts w:ascii="Arial" w:cs="Arial" w:eastAsia="Arial" w:hAnsi="Arial"/>
          <w:sz w:val="16"/>
          <w:szCs w:val="16"/>
          <w:color w:val="auto"/>
        </w:rPr>
        <w:t>4,275,751</w:t>
      </w:r>
    </w:p>
    <w:p>
      <w:pPr>
        <w:spacing w:after="0" w:line="46" w:lineRule="exact"/>
        <w:rPr>
          <w:sz w:val="20"/>
          <w:szCs w:val="20"/>
          <w:color w:val="auto"/>
        </w:rPr>
      </w:pPr>
    </w:p>
    <w:p>
      <w:pPr>
        <w:sectPr>
          <w:pgSz w:w="11900" w:h="16838" w:orient="portrait"/>
          <w:cols w:equalWidth="0" w:num="2">
            <w:col w:w="7782" w:space="720"/>
            <w:col w:w="2738"/>
          </w:cols>
          <w:pgMar w:left="320" w:top="125" w:right="339" w:bottom="1440" w:gutter="0" w:footer="0" w:header="0"/>
          <w:type w:val="continuous"/>
        </w:sectPr>
      </w:pPr>
    </w:p>
    <w:tbl>
      <w:tblPr>
        <w:tblLayout w:type="fixed"/>
        <w:tblInd w:w="1120" w:type="dxa"/>
        <w:tblCellMar>
          <w:top w:w="0" w:type="dxa"/>
          <w:left w:w="0" w:type="dxa"/>
          <w:bottom w:w="0" w:type="dxa"/>
          <w:right w:w="0" w:type="dxa"/>
        </w:tblCellMar>
      </w:tblPr>
      <w:tr>
        <w:trPr>
          <w:trHeight w:val="237"/>
        </w:trPr>
        <w:tc>
          <w:tcPr>
            <w:tcW w:w="738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Tangible assets acquired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842,458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acquired</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2,970,600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Goodwill acquired</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462,693</w:t>
            </w:r>
          </w:p>
        </w:tc>
      </w:tr>
      <w:tr>
        <w:trPr>
          <w:trHeight w:val="20"/>
        </w:trPr>
        <w:tc>
          <w:tcPr>
            <w:tcW w:w="7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4,275,751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above estimated fair value of the intangible assets is based on a third party valuation expert and also includes additional analysis by management based on a subsequent analysis of the transaction and adjustments to the assets acquired and liabilities assumed, with the corresponding offset to goodwill. Going forward, adjustments to assets acquired or liabilities assumed subsequent to the purchase price allocation period will be made in our operating results in the period in which the adjustments are determined. During the first quarter of 2020, as a result of the negative effect of COVID-19 on the Company’s foodservice customers, the Company performed a goodwill impairment test based upon future growth projections which include estimates of COVID-19’s impact on our business. As a result of impairment test, the Company recorded an impairment of the intangible assets related to the igourmet acquisition in the amount of $1,126,417 (see note 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4. ACCOUNTS RECEIVABLE</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At September 30, 2020 and December 31, 2019, accounts receivable consists of:</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from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2,115,282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3,405,114</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(323,173)</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(95,284)</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1,792,109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3,309,830</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primarily of specialty food products. At September 30, 2020 and December 31, 2019, inventory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3,254,645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2,350,622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Building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owns a building and property located at 28411 Race Track Road, Bonita Springs, Florida 34135. The property consists of approximately 1.1 acres of land and approximately 10,000 square feet of combined office and warehouse space, and was purchased as part of a bank short sale. The Company moved its operations to these premises on July 15, 2013. The purchase price of the property was $792,758.</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14, 2015, the Company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National Association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will be used by Artisan and other subsidiaries of the Company for the purposes of new product testing and development and approval, Quality Assurance and Quality Control as well as sales presentations and customer demonstrations. In addition, we recently added a packaging room to the Artisan building, which is built to FDA, FSMA and SQF food safety standards and purchased new, technologically advanced semi-automated fillers for the packaging room. The packaging room addition will allow for expansion of private label product lines as well as packing of organic, non GMO, diet specific and other specialty foods. The test kitchen, packaging room and additional improvements were financed by a loan from Fifth Third Bank.</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on the building and the related improvements, furniture, fixtures, and equipment began when the Company occupied the facility in October, 2015.</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October 2019 was $6,150,000 “as is” and $8,000,000 with additional scheduled improvements. Related to the Facility purchase, the Company entered into a commercial loan agreement for both the purchase price and planned improvements to the Facility. The amount of the loan was $5,500,000, of which $5,500,000 had been utilized at September 30, 2020, in connection with the purchase of the Facility; the lender was Fifth Third Bank and the loan is secured by a mortgage on the property and other Company assets. The interest on the loan is LIBOR plus 2.75%, with interest only payments due through September 30, 2020, thereafter with principal amortized over 20 years with the balance due at maturity on September 2, 2025. Related to Facility purchase, the Company also acquired certain leases from certain tenants of the Facility, all of which were in good standing at the time of purchase. Depreciation on the building began when the Company commenced recognizing revenue from leasing and logistics services associated with the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property and equipment at September 30, 2020 and December 31,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1,256,895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1,256,895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Building</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4,959,993</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4,959,993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578,362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549,703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Warehouse Equipment</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373,151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345,973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2,867,410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894,628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109,441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117,785</w:t>
            </w: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accumulated depreciation</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10,145,252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8,124,977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(1,789,578)</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(1,479,588)</w:t>
            </w: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8,355,674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6,645,389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for property and equipment amounted to $125,338 and $80,402 for the three months ended September 30, 2020 and 2019, respectively; depreciation and amortization expense for property and equipment amounted to $357,771 and $231,731 for the nine months ended September 30,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 OF USE ASSETS AND LEASE LIABILITIES –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lease expense was entirely comprised of operating leases. Lease expense for the three months ended September 30, 2020 and 2019 and amounted to $35,999 and $57,780, respectively. Lease expense for the nine months ended September 30, 2020 and 2019 amounted to $143,255 and $155,047,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ROU asset amortization for the three months ended September 30, 2020 and 2019 was $30,441 and $53,472, respectively. The Company’s ROU asset amortization for the nine months ended September 30, 2020 and 2019 was $137,712 and $140,303, respectively. The difference between the lease expense and the associated ROU asset amortization consists of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w w:val="99"/>
              </w:rPr>
              <w:t>Right to use assets – operating leases are summarized below:</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Warehouse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46,977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5,302</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55,919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Right to use assets, net</w:t>
            </w:r>
          </w:p>
        </w:tc>
        <w:tc>
          <w:tcPr>
            <w:tcW w:w="1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270,951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193,733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 are summarized below:</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Warehouse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46,977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5,302</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55,919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270,951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193,733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Lease liability, non-current</w:t>
            </w:r>
          </w:p>
        </w:tc>
        <w:tc>
          <w:tcPr>
            <w:tcW w:w="1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181,107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60,437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40" w:type="dxa"/>
            <w:vAlign w:val="bottom"/>
            <w:vMerge w:val="restart"/>
          </w:tcPr>
          <w:p>
            <w:pPr>
              <w:jc w:val="right"/>
              <w:ind w:right="99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Maturity analysis under these lease agreements are as follows: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September 30, 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104,501</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For the period ended September 30, 2022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71,051</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September 30, 2023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54,414</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For the period ended September 30, 2024</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53,369</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September 30, 2025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22,510</w:t>
            </w:r>
          </w:p>
        </w:tc>
      </w:tr>
      <w:tr>
        <w:trPr>
          <w:trHeight w:val="210"/>
        </w:trPr>
        <w:tc>
          <w:tcPr>
            <w:tcW w:w="1120" w:type="dxa"/>
            <w:vAlign w:val="bottom"/>
          </w:tcPr>
          <w:p>
            <w:pPr>
              <w:spacing w:after="0"/>
              <w:rPr>
                <w:sz w:val="18"/>
                <w:szCs w:val="18"/>
                <w:color w:val="auto"/>
              </w:rPr>
            </w:pPr>
          </w:p>
        </w:tc>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305,845</w:t>
            </w:r>
          </w:p>
        </w:tc>
        <w:tc>
          <w:tcPr>
            <w:tcW w:w="80" w:type="dxa"/>
            <w:vAlign w:val="bottom"/>
            <w:tcBorders>
              <w:top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(34,894)</w:t>
            </w:r>
          </w:p>
        </w:tc>
      </w:tr>
      <w:tr>
        <w:trPr>
          <w:trHeight w:val="209"/>
        </w:trPr>
        <w:tc>
          <w:tcPr>
            <w:tcW w:w="1120" w:type="dxa"/>
            <w:vAlign w:val="bottom"/>
          </w:tcPr>
          <w:p>
            <w:pPr>
              <w:spacing w:after="0"/>
              <w:rPr>
                <w:sz w:val="18"/>
                <w:szCs w:val="18"/>
                <w:color w:val="auto"/>
              </w:rPr>
            </w:pPr>
          </w:p>
        </w:tc>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270,951</w:t>
            </w:r>
          </w:p>
        </w:tc>
        <w:tc>
          <w:tcPr>
            <w:tcW w:w="80" w:type="dxa"/>
            <w:vAlign w:val="bottom"/>
            <w:tcBorders>
              <w:top w:val="single" w:sz="8" w:color="CCEEFF"/>
            </w:tcBorders>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made investments in certain early stage food related companies which it expects can benefit from synergies with the Company’s various operating businesses. At September30, 2020 and December 31, 2019, the Company has investments in eight food related companies in the aggregate amount of $480,900 and $435,225, respectively. The Company does not have significant influence over the operations of these companies.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Accounting Standards Codification (“ASC”) No. 325-20 Investments – Other, in determining to account for the investment using the cost method since the equity securities are not marketable and do not give the Company significant influence.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and 2019, the Company converted accounts receivable in the amount of $45,675 and $45,500, respectively, into an equity investment in a food related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trade names are not considered finite-lived assets, and are not being amortized. The non-compete agreement is being amortized over a period of 48 months. The customer relationships acquired in these transactions are being amortized over periods of 24 to 36 months. The internally developed technology is being amortized over 60 months.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detailed in ASC 350,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the Company’s reporting unit is less than its carrying amount, including goodwill. To complete this review, management followed the steps in ASC 350-20-35-3C to evaluate the fair value of goodwill and considered all known events and circumstances that might trigger an impairment of goodwill.</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COVID-19 has had a material negative impact on some of the Company’s foodservice customers. In an effort to limit the spread of the virus, federal, state and local governments have implemented measures that have resulted in the closure of non-essential businesses in many of the markets the Company serves, which has forced its customers in those markets to either transition their establishments to take-out service, delivery service or temporarily cease operations. These actions have led to a significant decrease in demand for certain of the Company’s foodservice products. The adverse impact to the Company’s foodservice customer base was a triggering event and accordingly, as required by ASC 350, the Company performed interim goodwill and long-lived asset quantitative impairment tests during the first quarter of 2020. While the triggering event was a result of the negative impact related to foodservice customers, the applicable accounting rules then required an impairment test targeted specifically to any available carrying value of goodwill or intangible assets. During the first quarter of 2020, the Company performed the impairment tests on certain intangible assets and goodwill pursuant to the acquisitions through Artisan, Oasis, Innovative Gourmet (see note 3) and M Innovations (see note 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estimated the fair value of the Company’s reporting unit using an income approach that incorporates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 it was calculated that the net carrying value of goodwill exceeded the fair value by $650,243, and the Company was required by ASC 350 to record an impairment charge to operations during the nine months ended September 30, 2020. At September 30, 2020, the net carrying value of goodwill on the Company’s balance sheet is $0.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Impairment Test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Long-lived assets, including other intangible assets, were tested for recoverability at the asset group level. The Company estimated the net undiscounted cash flows expected to be generated from the asset group over the expected useful life of the asset group’s primary asset. Key assumptions include future revenues, growth rates, estimates of future levels of gross profit and operating profit and projected capital expenditures necessary to maintain the operating capacity of each asset group. As a result of the impairment test, it was calculated that the net carrying values of other intangible assets exceeded the undiscounted cash flows for each of the Company’s asset groups by a total of $1,048,692, and the Company was required by the applicable accounting rules to record an impairment charge to operations during the nine months ended September 30, 2020. At September 30, 2020, the net carrying value of other intangible assets on the Company’s balance sheet is $1,532,822.</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acquisitions through Artisan, Oasis (see note 3), Innovative Gourmet (see note 3), OFB, Haley, and M Innovations (see note 3). The following is the net book value of these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3"/>
              </w:rPr>
              <w:t>September 30, 2020</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and Impairment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(505,900)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3,068,034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(3,068,034)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Internally Developed Technology - amortizable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875,643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Website - amortizable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98,000</w:t>
            </w:r>
          </w:p>
        </w:tc>
      </w:tr>
      <w:tr>
        <w:trPr>
          <w:trHeight w:val="20"/>
        </w:trPr>
        <w:tc>
          <w:tcPr>
            <w:tcW w:w="4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6,730,642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(5,099,820)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1,630,822</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2019</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(433,545)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72,355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3,068,034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(2,427,612)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640,422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Internally Developed Technology - amortizable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875,643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(329,679)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545,964</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650,243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Website - amortizable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84,000</w:t>
            </w:r>
          </w:p>
        </w:tc>
      </w:tr>
      <w:tr>
        <w:trPr>
          <w:trHeight w:val="20"/>
        </w:trPr>
        <w:tc>
          <w:tcPr>
            <w:tcW w:w="4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6,716,642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(3,190,836)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3,525,806</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amortization expense for the three months ended September 30, 2020 and 2019 was $0 and $210,028, respectively. Total amortization expense for the nine months ended September 30, 2020 and 2019 was $210,032 and $689,725,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impairment charge for the three months ended September 30, 2020 and 2019 was $0. Total impairment charge for the nine months ended September 30, 2020 and 2019 was $1,698,952 and $0,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September 30, 2020 and December 31, 2019 are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3,735,131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3,935,384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Accrued payroll and commissions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314,822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74,572</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4,049,953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4,009,956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INTEREST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2020, accrued interest on notes outstanding was $24,621. During the three and nine months ended September 30, 2020, the Company paid cash for interest in the aggregate amount of $70,996 and $196,392,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2019, accrued interest on a note outstanding was $16,973. During the twelve months ended December 31, 2019, the Company paid cash for interest in the aggregate amount of $112,971.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12. REVOLVING CREDIT FACILITIES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Line of credit facility with Fifth Third Bank in the original amount of $2,000,000 with an interest rate of</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LIBOR plus 3.25% (the “Fifth Third Bank Line of Credit”). Effective August 1, 2019, this credit facility was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extended  to  August  1,  2021.  On  March  20,  2020,  the  Company  drew  down  the  amount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of</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$2,000,000. During the three and nine months ended September 30, 2020, the Company paid interest</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w w:val="96"/>
              </w:rPr>
              <w:t>expense in the amount of $17,889 and $40,493, respectively, on the Fifth Third Bank Line of Credit.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13"/>
        </w:trPr>
        <w:tc>
          <w:tcPr>
            <w:tcW w:w="766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19</w:t>
            </w:r>
          </w:p>
        </w:tc>
        <w:tc>
          <w:tcPr>
            <w:tcW w:w="3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76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13. NOTES PAYABLE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Secured mortgage note payable for the acquisition of land and building in Bonita Springs, Florida in the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 of $546,000. Principal payments of $4,550 plus interest at the rate of Libor plus 3% are due monthly.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The balance of the principal amount was originally due February 28, 2018. On March 23, 2018 and effective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February 26, 2018, this note was amended and renewed in the amount of $273,000, with monthly payments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of principal and interest of $4,550 payable through the maturity date of February 28, 2023. During the three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months ended September 30, 2020, the Company made payments of principal and interest on this note in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amounts of $13,650 and $1,176, respectively. During the nine months ended September 30, 2020,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Company made payments of principal and interest on this note in the amounts of $40,950 and $4,693,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177,450</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Secured mortgage note payable for the acquisition of land and building in Broadview, Illinois in the amount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of $980,000. Principal payments of $8,167 plus interest at the rate of LIBOR plus 2.75% are due monthly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through April 2020, the remaining principal balance in the amount of $490,000 was originally due May 29,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2020. Effective May 29, 2020, the note was amended and renewed such that principal payments of $8,303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plus accrued interest will be due beginning June 29, 2020 and continuing for sixty months; the entire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principal balance and all accrued interest will be due on May 29, 2025. During the three months ended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September 30, 2020 and 2019, the Company made payments of principal and interest on this note in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amounts of $24,500 and $5,084, respectively. During the nine months ended September 30, 2020 and 2019,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the Company made payments of principal and interest on this note in the amounts of $57,167 and $13,964,</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530,833</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Promissory note dated March 22, 2019 in the original amount of $391,558 (the “Artisan Equipment Loan”)</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payable to Fifth Third Bank. This loan is secured by the Company’s tangible and intangible personal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and bears interest at the rate of 5.20%. The entire principal balance and all accrued interest is due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on the maturity date of March 21, 2024. Monthly payments in the amount of $7,425 including principal and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interest commenced in April, 2019. During the year ended December 31, 2019, equipment financed under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the Artisan Equipment Loan in the amount of $33,075 was returned for credit. During the three months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ended September 30, 2020, the Company made payments of principal and interest on this note in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amounts of $11,222 and $3,524, respectively. During the nine months ended September 30, 2020,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7"/>
              </w:rPr>
              <w:t>Company made payments of principal and interest on this note in the amounts of $44,327 and $11,231,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309,829</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 note payable in the amount of $20,000. The Note was due in January 2006 and the Company is currently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accruing interest on this note at 1.9%. During the three months ended September 30, 2020 and 2019,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Company accrued interest in the amount of $93 on this note. During the nine months ended September 30,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2020 and 2019, the Company accrued interest in the amount of $279 on this note.</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Vehicle acquisition loan dated December 6, 2018 in the original amount of $51,088, payable in sixty monthly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installments of $955 including interest at the rate of 4.61%. During the three months ended September 30,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2020, the Company made principal and interest payments in the amount of $2,448 and $417, respectively, 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6"/>
              </w:rPr>
              <w:t>this loan. During the nine months ended September 30, 2020, the Company made principal and interest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payments in the amount of $7,261 and $1,282, respectively, on this loan.</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41,788</w:t>
            </w:r>
          </w:p>
        </w:tc>
      </w:tr>
      <w:tr>
        <w:trPr>
          <w:trHeight w:val="432"/>
        </w:trPr>
        <w:tc>
          <w:tcPr>
            <w:tcW w:w="8000" w:type="dxa"/>
            <w:vAlign w:val="bottom"/>
          </w:tcPr>
          <w:p>
            <w:pPr>
              <w:ind w:left="55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8000" w:type="dxa"/>
        <w:tblCellMar>
          <w:top w:w="0" w:type="dxa"/>
          <w:left w:w="0" w:type="dxa"/>
          <w:bottom w:w="0" w:type="dxa"/>
          <w:right w:w="0" w:type="dxa"/>
        </w:tblCellMar>
      </w:tblPr>
      <w:tr>
        <w:trPr>
          <w:trHeight w:val="216"/>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Secured mortgage facility in the amount of $5,500,000 with Fifth Third Bank for the acquisition of land and building in Wright, Pennsylvania dated November 8, 2019. The mortgage facility is secured by the assets acquired. During the year ended December 31, 2019, the Company drew down $3,600,000 of this facility. During the three and nine months ended September 30, 2020, the Company drew down an additional $1,048,066 and $1,900,000 of this facility, respectively. The interest rate is LIBOR plus 2.75% with interest only due through September 30, 2020, thereafter with principal amortized at a 20 years amortization rate and the balance due on the maturity date of September 2, 2025. The Company prepaid loan fees in connection with this loan in the amount of $71,097 which are considered a discount to the loan and are being amortized over the term of the note; $3,157 and $9,403, respectively, of this discount was amortized to interest expense during the three and nine months ended September 30, 2020. During the three months ended September 30, 2020 the Company made principal and interest payments in the amount of $0 and $39,531, respectively, on this loan. During the nine months ended September 30, 2020 the Company made principal and interest payments in the amount of $0 and $114,425, respectively, on this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7132320" cy="1783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 payable to Fifth Third Bank dated April 21, 2020 pursuant to the Paycheck Protection Program (the “PPP Loan”) established under the Coronavirus Aid, Relief, and Economic Security Act (the “CARES Act”) in the principal amount of $1,650,221. The term of the PPP Loan is two years, and the annual interest rate is 1%. Under the terms of the CARES Act, PPP Loan recipients can apply for, and be granted forgiveness for, all or a portion of loans granted under the Paycheck Protection Program. No assurance is provided that the Company will obtain forgiveness of the PPP Loan in whole or in part. During the three and nine months ended September 30, 2020, the Company accrued interest in the amount of $4,159 and $7,369, respectively, on the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-1102995</wp:posOffset>
            </wp:positionV>
            <wp:extent cx="7132320" cy="1097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of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long-term notes payable as of September 30, 2020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September 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color w:val="auto"/>
        </w:rPr>
        <w:t>5,500,000</w:t>
      </w:r>
      <w:r>
        <w:rPr>
          <w:sz w:val="20"/>
          <w:szCs w:val="20"/>
          <w:color w:val="auto"/>
        </w:rPr>
        <w:tab/>
      </w:r>
      <w:r>
        <w:rPr>
          <w:rFonts w:ascii="Arial" w:cs="Arial" w:eastAsia="Arial" w:hAnsi="Arial"/>
          <w:sz w:val="17"/>
          <w:szCs w:val="17"/>
          <w:color w:val="auto"/>
        </w:rPr>
        <w:t>3,600,000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1,650,221</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11"/>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8,080,416</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4,679,900</w:t>
            </w:r>
          </w:p>
        </w:tc>
        <w:tc>
          <w:tcPr>
            <w:tcW w:w="60" w:type="dxa"/>
            <w:vAlign w:val="bottom"/>
          </w:tcPr>
          <w:p>
            <w:pPr>
              <w:spacing w:after="0"/>
              <w:rPr>
                <w:sz w:val="24"/>
                <w:szCs w:val="24"/>
                <w:color w:val="auto"/>
              </w:rPr>
            </w:pP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(61,694)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(71,097)</w:t>
            </w:r>
          </w:p>
        </w:tc>
      </w:tr>
      <w:tr>
        <w:trPr>
          <w:trHeight w:val="209"/>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8,018,722</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4,608,803</w:t>
            </w: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1,535,097</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727,766</w:t>
            </w:r>
          </w:p>
        </w:tc>
        <w:tc>
          <w:tcPr>
            <w:tcW w:w="60" w:type="dxa"/>
            <w:vAlign w:val="bottom"/>
          </w:tcPr>
          <w:p>
            <w:pPr>
              <w:spacing w:after="0"/>
              <w:rPr>
                <w:sz w:val="24"/>
                <w:szCs w:val="24"/>
                <w:color w:val="auto"/>
              </w:rPr>
            </w:pPr>
          </w:p>
        </w:tc>
      </w:tr>
      <w:tr>
        <w:trPr>
          <w:trHeight w:val="23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6,545,319</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3,952,134</w:t>
            </w:r>
          </w:p>
        </w:tc>
        <w:tc>
          <w:tcPr>
            <w:tcW w:w="60" w:type="dxa"/>
            <w:vAlign w:val="bottom"/>
          </w:tcPr>
          <w:p>
            <w:pPr>
              <w:spacing w:after="0"/>
              <w:rPr>
                <w:sz w:val="20"/>
                <w:szCs w:val="20"/>
                <w:color w:val="auto"/>
              </w:rPr>
            </w:pPr>
          </w:p>
        </w:tc>
      </w:tr>
      <w:tr>
        <w:trPr>
          <w:trHeight w:val="209"/>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8,080,416</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4,679,900</w:t>
            </w: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-753745</wp:posOffset>
            </wp:positionV>
            <wp:extent cx="9347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4720" cy="825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-170815</wp:posOffset>
            </wp:positionV>
            <wp:extent cx="9347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60" w:hanging="733"/>
        <w:spacing w:after="0"/>
        <w:tabs>
          <w:tab w:leader="none" w:pos="1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1,535,097</w:t>
      </w:r>
    </w:p>
    <w:p>
      <w:pPr>
        <w:spacing w:after="0" w:line="34" w:lineRule="exact"/>
        <w:rPr>
          <w:rFonts w:ascii="Arial" w:cs="Arial" w:eastAsia="Arial" w:hAnsi="Arial"/>
          <w:sz w:val="17"/>
          <w:szCs w:val="17"/>
          <w:color w:val="auto"/>
        </w:rPr>
      </w:pPr>
    </w:p>
    <w:p>
      <w:pPr>
        <w:ind w:left="1660"/>
        <w:spacing w:after="0"/>
        <w:rPr>
          <w:rFonts w:ascii="Arial" w:cs="Arial" w:eastAsia="Arial" w:hAnsi="Arial"/>
          <w:sz w:val="17"/>
          <w:szCs w:val="17"/>
          <w:color w:val="auto"/>
        </w:rPr>
      </w:pPr>
      <w:r>
        <w:rPr>
          <w:rFonts w:ascii="Arial" w:cs="Arial" w:eastAsia="Arial" w:hAnsi="Arial"/>
          <w:sz w:val="17"/>
          <w:szCs w:val="17"/>
          <w:color w:val="auto"/>
        </w:rPr>
        <w:t>1,161,279</w:t>
      </w:r>
    </w:p>
    <w:p>
      <w:pPr>
        <w:spacing w:after="0" w:line="20" w:lineRule="exact"/>
        <w:rPr>
          <w:rFonts w:ascii="Arial" w:cs="Arial" w:eastAsia="Arial" w:hAnsi="Arial"/>
          <w:sz w:val="17"/>
          <w:szCs w:val="17"/>
          <w:color w:val="auto"/>
        </w:rPr>
      </w:pPr>
    </w:p>
    <w:p>
      <w:pPr>
        <w:ind w:left="1780"/>
        <w:spacing w:after="0"/>
        <w:rPr>
          <w:rFonts w:ascii="Arial" w:cs="Arial" w:eastAsia="Arial" w:hAnsi="Arial"/>
          <w:sz w:val="17"/>
          <w:szCs w:val="17"/>
          <w:color w:val="auto"/>
        </w:rPr>
      </w:pPr>
      <w:r>
        <w:rPr>
          <w:rFonts w:ascii="Arial" w:cs="Arial" w:eastAsia="Arial" w:hAnsi="Arial"/>
          <w:sz w:val="18"/>
          <w:szCs w:val="18"/>
          <w:color w:val="auto"/>
        </w:rPr>
        <w:t>489,973</w:t>
      </w:r>
    </w:p>
    <w:p>
      <w:pPr>
        <w:spacing w:after="0" w:line="9" w:lineRule="exact"/>
        <w:rPr>
          <w:rFonts w:ascii="Arial" w:cs="Arial" w:eastAsia="Arial" w:hAnsi="Arial"/>
          <w:sz w:val="17"/>
          <w:szCs w:val="17"/>
          <w:color w:val="auto"/>
        </w:rPr>
      </w:pPr>
    </w:p>
    <w:p>
      <w:pPr>
        <w:ind w:left="1780"/>
        <w:spacing w:after="0"/>
        <w:rPr>
          <w:rFonts w:ascii="Arial" w:cs="Arial" w:eastAsia="Arial" w:hAnsi="Arial"/>
          <w:sz w:val="17"/>
          <w:szCs w:val="17"/>
          <w:color w:val="auto"/>
        </w:rPr>
      </w:pPr>
      <w:r>
        <w:rPr>
          <w:rFonts w:ascii="Arial" w:cs="Arial" w:eastAsia="Arial" w:hAnsi="Arial"/>
          <w:sz w:val="18"/>
          <w:szCs w:val="18"/>
          <w:color w:val="auto"/>
        </w:rPr>
        <w:t>418,933</w:t>
      </w:r>
    </w:p>
    <w:p>
      <w:pPr>
        <w:spacing w:after="0" w:line="9" w:lineRule="exact"/>
        <w:rPr>
          <w:rFonts w:ascii="Arial" w:cs="Arial" w:eastAsia="Arial" w:hAnsi="Arial"/>
          <w:sz w:val="17"/>
          <w:szCs w:val="17"/>
          <w:color w:val="auto"/>
        </w:rPr>
      </w:pPr>
    </w:p>
    <w:p>
      <w:pPr>
        <w:ind w:left="1780"/>
        <w:spacing w:after="0"/>
        <w:rPr>
          <w:rFonts w:ascii="Arial" w:cs="Arial" w:eastAsia="Arial" w:hAnsi="Arial"/>
          <w:sz w:val="17"/>
          <w:szCs w:val="17"/>
          <w:color w:val="auto"/>
        </w:rPr>
      </w:pPr>
      <w:r>
        <w:rPr>
          <w:rFonts w:ascii="Arial" w:cs="Arial" w:eastAsia="Arial" w:hAnsi="Arial"/>
          <w:sz w:val="18"/>
          <w:szCs w:val="18"/>
          <w:color w:val="auto"/>
        </w:rPr>
        <w:t>350,134</w:t>
      </w:r>
    </w:p>
    <w:p>
      <w:pPr>
        <w:spacing w:after="0" w:line="9" w:lineRule="exact"/>
        <w:rPr>
          <w:rFonts w:ascii="Arial" w:cs="Arial" w:eastAsia="Arial" w:hAnsi="Arial"/>
          <w:sz w:val="17"/>
          <w:szCs w:val="17"/>
          <w:color w:val="auto"/>
        </w:rPr>
      </w:pPr>
    </w:p>
    <w:p>
      <w:pPr>
        <w:ind w:left="1660"/>
        <w:spacing w:after="0"/>
        <w:rPr>
          <w:rFonts w:ascii="Arial" w:cs="Arial" w:eastAsia="Arial" w:hAnsi="Arial"/>
          <w:sz w:val="17"/>
          <w:szCs w:val="17"/>
          <w:color w:val="auto"/>
        </w:rPr>
      </w:pPr>
      <w:r>
        <w:rPr>
          <w:rFonts w:ascii="Arial" w:cs="Arial" w:eastAsia="Arial" w:hAnsi="Arial"/>
          <w:sz w:val="17"/>
          <w:szCs w:val="17"/>
          <w:color w:val="auto"/>
        </w:rPr>
        <w:t>4,125,000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13335</wp:posOffset>
            </wp:positionV>
            <wp:extent cx="916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 w:lineRule="exact"/>
        <w:rPr>
          <w:sz w:val="20"/>
          <w:szCs w:val="20"/>
          <w:color w:val="auto"/>
        </w:rPr>
      </w:pPr>
    </w:p>
    <w:p>
      <w:pPr>
        <w:ind w:left="1660" w:hanging="733"/>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8,080,416</w:t>
      </w:r>
    </w:p>
    <w:p>
      <w:pPr>
        <w:sectPr>
          <w:pgSz w:w="11900" w:h="16838" w:orient="portrait"/>
          <w:cols w:equalWidth="0" w:num="3">
            <w:col w:w="7880" w:space="120"/>
            <w:col w:w="100" w:space="660"/>
            <w:col w:w="2440"/>
          </w:cols>
          <w:pgMar w:left="320" w:top="125" w:right="37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14. LEASE LIABILITIES - FINANCING LEASES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Financing lease obligation under a lease agreement for a truck in the original amount of $152,548 payable in</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eighty-four monthly installments of $2,188 including interest at the rate of 5.44%. During the three months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ended September 30, 2020, the Company made principal and interest payments on this lease obligation in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9"/>
              </w:rPr>
              <w:t>amounts of $4,591 and $1,973, respectively. During the nine months ended September 30, 2020,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7"/>
              </w:rPr>
              <w:t>Company made principal and interest payments on this lease obligation in the amounts of $10,616 and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$4,700,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Financing lease obligation under a lease agreement for a truck dated November 5, 2018 in the original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 of $128,587 payable in seventy monthly installments of $2,326 including interest at the rate of</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7"/>
              </w:rPr>
              <w:t>8.33%. During the three months ended September 30, 2020, the Company made principal and interest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payments on this lease obligation in the amounts of $4,971 and $2,006, respectively. During the nine months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ended September 30, 2020, the Company made principal and interest payments on this lease obligation in the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amounts of $14,609 and $6,323, respectively.</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107,597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Financing lease obligation under a lease agreement for a truck dated August 23, 2019 in the original amount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of $80,413 payable in eighty-four monthly installments of $1,148 including interest at the rate of 5.0%.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During the three months ended September 30, 2020, the Company made principal and interest payments 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this lease obligation in the amounts of $2,553 and $891, respectively. During the nine months ended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7"/>
              </w:rPr>
              <w:t>September 30, 2020, the Company made principal and interest payments on this lease obligation in the</w:t>
            </w:r>
          </w:p>
        </w:tc>
        <w:tc>
          <w:tcPr>
            <w:tcW w:w="1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69,577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77,140</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amounts of $7,564 and $2,767, respectively.</w:t>
            </w: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maturities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Aggregate maturities of lease liabilities – financing leases as of September 30, 2020 are as follows:</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For the period ended September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50,399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57,554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59,147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304,498</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of shares to officers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 months ended September 30, 2020 in connection with stock based compensation based upon the terms of employment agreements with its employees and compensation agreements with the Company’s independent board members, the Company charged to operations the amount of $52,500 for the vesting of a total of 104,892 shares of common stock issuable to two of its independent board members, and $192,183 for the vesting of a total of 531,271 shares of common stock issuable to its Chief Executive Officer and its Director of Strategic Acquisitions pursuant to their employment agreements which includes 171,895 shares with a market value of $57,471, received by the Chief Executive Officer subsequent to the expiration of a limited waiver provided through June 29 2020 ( see below). The Company also recognized non-cash compensation in the amount of $113,902 during the nine months ended September 30, 2020 in connection with stock options issuable to management and board members.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chief executive officer provided a limited waiver through June 29, 2020 of certain rights and benefits contained in his employment agreement following a Change in Control (as defined in the employment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2019 in connection with stock based compensation based upon the terms of employment agreements with its employees and compensation agreements with the Company’s independent board members, the Company charged to operations the aggregate total amount of $154,036 for the vesting of a total of 290,949 shares of common stock issuable to its Chief Executive Officer, its Director of Strategic Acquisitions and to its two independent board members.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the Company awarded the following to each of its two independent directors: (i) a cash retainer in the amount of $45,000, which was paid in January 2019; and (ii) cash retainers in the amount of $30,000 per year, to be paid quarterly.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the Company awarded the following stock options to each of its four directors:</w:t>
      </w:r>
    </w:p>
    <w:p>
      <w:pPr>
        <w:spacing w:after="0" w:line="225" w:lineRule="exact"/>
        <w:rPr>
          <w:sz w:val="20"/>
          <w:szCs w:val="20"/>
          <w:color w:val="auto"/>
        </w:rPr>
      </w:pPr>
    </w:p>
    <w:p>
      <w:pPr>
        <w:ind w:left="1140" w:hanging="376"/>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five-year options to purchase 90,000 shares of common stock at a price of $0.62 per share, vesting quarterly over a three year period;</w:t>
      </w:r>
    </w:p>
    <w:p>
      <w:pPr>
        <w:spacing w:after="0" w:line="46" w:lineRule="exact"/>
        <w:rPr>
          <w:rFonts w:ascii="Arial" w:cs="Arial" w:eastAsia="Arial" w:hAnsi="Arial"/>
          <w:sz w:val="16"/>
          <w:szCs w:val="16"/>
          <w:color w:val="auto"/>
        </w:rPr>
      </w:pPr>
    </w:p>
    <w:p>
      <w:pPr>
        <w:ind w:left="1140" w:hanging="376"/>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(ii) five-year options to purchase 135,000 shares of common stock at a price of $0.85 per share, vesting quarterly over a three year period;</w:t>
      </w:r>
    </w:p>
    <w:p>
      <w:pPr>
        <w:spacing w:after="0" w:line="32" w:lineRule="exact"/>
        <w:rPr>
          <w:rFonts w:ascii="Arial" w:cs="Arial" w:eastAsia="Arial" w:hAnsi="Arial"/>
          <w:sz w:val="16"/>
          <w:szCs w:val="16"/>
          <w:color w:val="auto"/>
        </w:rPr>
      </w:pPr>
    </w:p>
    <w:p>
      <w:pPr>
        <w:ind w:left="1140" w:hanging="376"/>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(iii) five-year options to purchase 225,000 shares of common stock at a price of $1.20 per share, vesting quarterly over a three year period</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non-cash compensation in the amount of $34,120 and $102,360 during the three and nine months ended September 30, 2019 in connection with these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GBC Sub, Inc. (d/b/a TheGiftBox)</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 As a result, during the preliminary purchase price allocation period, which may be up to one year from the asset purchase date, we may record adjustments to the assets acquired. On August 4, 2020, the Company paid the amount of $29,900 representing a deposit on certain inventory of GiftBox.</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common stock to related party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23, 2019, the Company entered into a subscription agreement to sell 349,650 restricted shares of common stock to Pet Box LLC, a company controlled by David Polinsky, a director of the Company. The purchase price was $0.715 per share for a total of $250,000. See note 17.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igourmet Asset Purchase Agreement, the Company recorded contingent liabilities in the original amount of $787,800. This amount relates to certain performance based payments over the twenty-four months following the acquisition date as well as to certain additional liabilities that the Company has evaluated and has recorded on a contingent basis. During the years ended December 31, 2018 and 2019, the Company reduced this amount by $392,900 and $132,300, respectively, as the performance goals for the first two years were not met. During the year ended December 31, 2019, the Company paid the amount of $39,000 in connection with the additional liabilities; during the three and nine months ended September 30, 2020, the Company paid the amount of $8,000 and $32,000, respectively, in connection with the additional liabilities. At September 30, 2020, the amount of $67,000 remains on the Company’s balance sheet as a current contingent liability, and $124,600 as a long term contingent liability.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Mouth Foods LLC Asset Acquisition, the Company recorded contingent liabilities in the amount of $240,576. These amounts relate to the estimate of certain performance based payments following the acquisition date as well as to certain additional liabilities that the Company has evaluated and has recorded on a contingent basis. During the year ended December 31, 2019, the Company paid the amount of $120,576 in connection with these liabilities. At September 30, 2020, $120,000 is classified as a current contingent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during the three and nine months ended September 30, 2020, the Company paid an additional $15,000 and $35,000, respectively, towards the minimum royalty.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Innovative Gourmet LLC and Food Innovations, Inc. The complaint in the PA Action alleges, inter alia, wrongful death and negligence by a driver employed by Innovative Gourmet and indicates a demand and offer to settle for fifty million dollars. We expect that should a settlement occur the amount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offered, we intend to further aggressively pursue the Company’s and its subsidiaries’ insurance coverage under their umbrella and other available policies. In addition, the Company has been defending this action and believes that the likely outcome would result in any liabilities being covered by its insurance carriers. However, if the Company was found responsible for damages in excess of its available insurance coverage, such damages in excess of the coverage could have a material adverse effect on the Company’s operations. On July 16, 2020, the court granted the Company's motion to stay the case through the final adjudication of an additional legal proceeding which may be brought in the future in connection with the events related to the case. It is not anticipated that the Company and its subsidiaries will be a party to any other legal proceedings in connection with this matter.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2020 and December 31, 2019, a total of 2,837,580 shares are deemed issued but not outstanding by the Company. These include 2,623,171 shares of treasury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38,943 shares of common stock with a fair value of $17,135 to an employee as a bonus.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4,762 shares of common stock with a fair value of $2,286 to a service provider.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 months ended September 30, 2020 in connection with stock based compensation based upon the terms of employment agreements with its employees and compensation agreements with the Company’s independent board members, the Company charged to operations the amount of $52,500 for the vesting of a total of 104,892 shares of common stock issuable to two of its independent board members, and $192,183 for the vesting of a total of 531,271 shares of common stock issuable to its Chief Executive Officer and its Director of Strategic Acquisitions pursuant to their employment agreements which includes 171,895 shares with a market value of $57,471, received by the Chief Executive Officer subsequent to the expiration of a limited waiver provided through June 29 2020 ( see below). The Company also recognized non-cash compensation in the amount of $113,902 during the nine months ended September 30, 2020 in connection with stock options issuable to management and board members.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chief executive officer provided a limited waiver through June 29, 2020 of certain rights and benefits contained in his employment agreement following a Change in Control (as defined in the employment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amount of $113,902 in connection with the vesting of stock options to management and board members.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a total of 131,136 shares of common stock to seven employees for previously accrued bonuses in the amount of $93,666.</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charged the amount of $176,709 in connection with the vesting of 332,940 shares of common stock issuable to board members and employees in connection with their employment agreements.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sold 349,650 restricted shares of common stock to Pet Box LLC, a company controlled by David Polinsky, a director of the Company. The purchase price was $0.715 per share for a total of $250,000.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9,524 shares of common stock with a fair value of $0.54 to a service provider; the fair value of $5,143 was charged to operations during the three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at September 30, 2020 and the related prices for the options to purchase shares of the Company’s common stock issued by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Weighted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exercise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Range of</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Remaining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price of</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price of</w:t>
            </w: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3"/>
              </w:rPr>
              <w:t>exercise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contractual</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outstanding</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22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exercisable</w:t>
            </w:r>
          </w:p>
        </w:tc>
      </w:tr>
      <w:tr>
        <w:trPr>
          <w:trHeight w:val="234"/>
        </w:trPr>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Prices</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1"/>
              </w:rPr>
              <w:t>life (years)</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Options</w:t>
            </w:r>
          </w:p>
        </w:tc>
      </w:tr>
      <w:tr>
        <w:trPr>
          <w:trHeight w:val="210"/>
        </w:trPr>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360,000</w:t>
            </w:r>
          </w:p>
        </w:tc>
        <w:tc>
          <w:tcPr>
            <w:tcW w:w="1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3.25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16"/>
        </w:trPr>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540,000</w:t>
            </w:r>
          </w:p>
        </w:tc>
        <w:tc>
          <w:tcPr>
            <w:tcW w:w="13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0.85</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315,000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16"/>
        </w:trPr>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1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1,050,000</w:t>
            </w:r>
          </w:p>
        </w:tc>
        <w:tc>
          <w:tcPr>
            <w:tcW w:w="13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575,000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2,150,000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1,300,000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Transactions involving stock options are summarized as follows: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09"/>
        </w:trPr>
        <w:tc>
          <w:tcPr>
            <w:tcW w:w="80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Options exercisable at September 30, 2020</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17"/>
                <w:szCs w:val="17"/>
                <w:color w:val="auto"/>
              </w:rPr>
            </w:pPr>
          </w:p>
        </w:tc>
        <w:tc>
          <w:tcPr>
            <w:tcW w:w="22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1.04</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of options outstanding and exercisable at September 30, 2020 and 2019 was $0. Aggregate intrinsic value represents the difference between the Company’s closing stock price on the last trading day of the fiscal period, which was $0.41 and $0.58 as of September 30, 2020 and 2019, respectively, and the exercise price multiplied by the number of options outstanding.</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September 30, 2020 and 2019, the Company charged $37,452 and $38,550, respectively, to operations to recognized stock-based compensation expense for employee stock options. During the nine months ended September 30, 2020 and 2019, the Company charged $113,902 and $115,651, respectively, to operations to recognized stock-based compensation expense for employee stock options.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warrants and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valued warrants and stock options during the nine months ended September 30, 2020 and 2019 using the Black-Scholes valuation model utilizing the following variables: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5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November 12, 2020, Ms. Norma Vila assumed the responsibilities as the Company’s principal accounting officer. John McDonald previously had those responsibilities.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Ms. Vila initially joined the Company on May 28, 2019 as Assistant Controller. Since then she also held the position of Controller from February 2020 to present. Prior to joining the Company Ms. Vila was Vice President, Accounting &amp; Controller at Starboard Cruise Services (Moët Hennessy ● Louis Vuitton Group) from April 2015 to March 2018 and prior thereto she was Vice President, Finance at Onboard Media (Moët Hennessy ● Louis Vuitton Group) from June 2002 to April 2015. Ms. Vila graduated from Florida International University in 2003 with a master’s in accounting.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82" w:lineRule="exact"/>
        <w:rPr>
          <w:sz w:val="20"/>
          <w:szCs w:val="20"/>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demand for our services and different food trends,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2140" w:right="20" w:hanging="108"/>
        <w:spacing w:after="0" w:line="263" w:lineRule="auto"/>
        <w:tabs>
          <w:tab w:leader="none" w:pos="2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and environmental weather conditions.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Doubtful Accounts Receivable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maintained an allowance in the amount of $323,173 for doubtful accounts receivable at September 30, 2020, and $95,284 at December 31, 2019. The increase in the allowance was mainly due to the increased likelihood of certain uncollectible amounts associated with national brand management customers.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Florida corporation, for 500,000 shares of our common stock.</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 On June 30, 2014, pursuant to a purchase agreement, the Company purchased 100% of the membership interest of Organic Food Brokers, LLC, a Colorado limited liability company (“OFB”), for $300,000, 100,000 four year options at a price of $1.46 per share, and up to an additional $225,000 in earn-outs if certain milestones are met. Pursuant to an Asset Purchase Agreement dated as of January 1, 2017 the Company’s wholly-owned subsidiary,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Effective January 24, 2018, pursuant to an asset purchase agreement (the “igourmet Asset Purchase Agreement”), our wholly-owned subsidiary, Innovative Gourmet, acquired substantially all of the assets and certain liabilities of igourmet LLC and igourmet NY LLC, privately-held New York limited liability companies located in West Pittston, Pennsylvania and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funded advances of $325,500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2018 and 2019 earnout milestones were not met. In connection with the acquisition, our wholly-owned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July 6, 2018, pursuant to an asset purchase agreement between Mouth Foods, Inc. and our wholly-owned subsidiary M Innovations (the “MFI APA”), the Company acquired certain assets of Mouth Foods, Inc.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Foods, Inc., a privately held New York company operating out of Brooklyn, was an expert curator and online retailer of high quality specialty foods from small-batch makers in the US.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 As a result, during the preliminary purchase price allocation period, which may be up to one year from the asset purchase date, we may record adjustments to the assets acquired. On August 4, 2020, the Company paid the amount of $29,900 representing a deposit on certain inventory of GiftBox.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 Major Customer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with a major customer and related economic dependence information is set forth immediately below and above in Note 2 to the Condensed Consolidated Financial Statements and also in our Annual Report on Form 10-K for the year ended December 31, 2019 (1) following our discussion of Liquidity and Capital Resources, (2) Concentrations of Credit Risk in Note 17 to the Consolidated Financial Statements, and (3) as the fourth item under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 Foods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historically sold the majority of our products through a distributor relationship between FII and Next Day Gourmet, L.P., a subsidiary of U.S. Foods, a leading broadline distributor. These sales amounted to $5,213,917 (46% of total sales) and $8,037,169 (60% of total sales) for the three months ended September 30, 2020 and 2019 respectively; These sales amounted to $15,785,614 (43% of total sales) and $24,247,665 (60% of total sales) for the nine months ended September 30, 2020 and 2019 respectively. On January 26, 2015 we executed a contract between Food Innovations, Inc., our wholly-owned subsidiary, and U.S. Foods, Inc. The term of the Agreement is from January 1, 2015 through December 31, 2016 and provides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may contain forward looking-statements that involve risks and uncertainties. Our future results could differ materially from the forward looking-statements discussed in this report. This discussion should be read in conjunction with our consolidated financial statements, the notes thereto and other financial information included elsewhere in the report.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nine months ended September 30, 2020, the world has been in the grip of a coronavirus pandemic which has wreaked havoc on economies world-wide, including in the U.S., which is our primary market. As a result of the pandemic, restaurants, hotels, country clubs, casinos, catering houses and other of our primary customers have either been closed completely or are only partially open with significantly reduced operations. Accordingly, foodservice revenues, which historically have been a significant overall portion of our revenues, have been significantly reduced as most foodservice establishments across the United States closed or had limited operations. As a result, 2020 foodservice revenues, starting in the second half of March 2020 experienced unprecedented declines.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Conversely, we have experienced significant growth in our on-line e-commerce revenues as overall e-commerce grew as demand for food products continued across the United States. Accordingly, we have focused our resources on meeting the growth of e-commerce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decreased by $2,231,138 or approximately 16.6% to $11,234,626 for the three months ended September 30, 2020 from $13,465,764 in the prior year. The decrease in revenues is primarily attributable to a decrease in specialty foodservice revenues which was driven by the nationwide closures of restaurants and other foodservice establishments related to COVID-19. The decline in specialty foodservice was partially offset with revenues increases mainly associated with e-commerce revenues. The increases in e-commerce revenues were driven by the Company’s ability to increase sales at its e-commerce properties and convert significant shifts in e-commerce specialty foods, supermarket trends, and e-commerce grocery trends, driven initially by COVID-19, into e-commerce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with an expanded focus on the specialty food e-commerce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SEC’s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cost of goods sold for the three months ended September 30, 2020 was $8,367,565, a decrease of $1,496,619 or approximately 15.2% compared to cost of goods sold of $9,864,484 for the three months ended September 30, 2019. Cost of goods sold is made up of the following expenses for the three months ended September 30, 2020: cost of goods of specialty, meat, game, cheese, seafood, poultry and other sales categories in the amount of $5,441,823; shipping, delivery, handling, and purchase allowance expenses in the amount of $2,742,095; and cost of goods associated with logistics of $183,647. Total gross margin was approximately 25.5% of sales in 2020 compared to approximately 26.7% of sales in 2019. The decrease in cost of goods sold is attributed mainly to a decrease in revenues compared to 2019. The decrease in margins compared to 2019 is primarily attributable to variation in product and revenue mix across our various selling channels including a decrease in higher gross margin revenues associated with National Brand Management and variations in both revenue mix and gross margins associated with foodservice and e-commerce revenues including revenue and margin variations driven by the COVID-19 pandemic.</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continued to price our products in order to increase sales, gain market share and increase the number of our end users and e-commerce customers. We were successful in both increasing sales and increasing market share and increasing the number of our e-commerce customers. We currently expect, if market conditions, overall economic conditions, and our product revenue mix remain constant, that our cost of goods sold may increase and may result in a decrease in profit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Selling, general, and administrative expenses increased by $877,601 or approximately 21.8% to $4,466,631 during the three months ended September 30, 2020 compared to $3,754,012 for the three months ended September 30, 2019. The increase in selling, general, and administrative expenses was primarily due to increases in payroll and related costs of approximately $468,219, including an increase of $55,646 in share based compensation; increases in advertising costs of $297,619; increases in computer and IT costs of $78,265; increases in banking and credit card fees of $50,414; increases in office, facilities, and vehicle costs of $44,236; increases in insurance costs of approximately $29,261; and increases in taxes of approximately $14,098. These increases were partially offset by decreases in depreciation and amortization of $164,703; decreases in travel and entertainment costs of $78,291; and decreases in legal and professional fees of $44,481. The increases were driven mainly by additional costs including increases in costs including warehouse fulfillment costs associated with COVID-19, increased costs associated with additional personnel mainly associated with warehouse operations, overall employee costs and insurance costs, increased legal, accounting, facility and IT costs including costs associated with the planned launch of new websites, and significant increased advertising associated with increased spending in digital marketing related to certain of the Company’s e-commerce websites.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2020, the Company recognized revenue in the amount of $10,977 in connection with the lease of space in our Mountaintop warehouse facility. There was no such activity during the prior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Fixed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2019, the Company recognized a gain in the amount of $12,495 in connection with the sale of fixed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comparable transaction during the current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expense, net of interest income, increased by $37,372 or approximately 215.1% to $54,749 during the three months ended September 30, 2020, compared to $17,377 during the three months ended September 30, 2019. Interest accrued or paid on the Company’s commercial loans and notes payable increased by $34,216 to $53,310 during the current period, compared to $19,094 during the prior period, primarily due to interest on the Company’s mortgage on the logistics and warehouse facility in Mountaintop, Pennsylvania, which was $39,531 during the three months ended September 30, 2020 compared to $0 during the prior period, and the interest on the credit line with Fifth Third Bank in the amount of $17,889 during the three months ended September 30, 2020, compared to $0 during the prior period. Interest expense also increased by the amortization of the discount on notes payable, which was $3,157 during the current period, compared to $0 during the comparable period of 2019. Interest income increased by $1 to $1,718 during the current period compared to $1,717 during the prior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reasons above, the Company had a net loss for the three months ended September 30, 2020 of $(1,643,342) which is an increase of approximately $1,485,728 or 942.6% compared to a net loss of $(157,614) during the three months ended September 30, 2019. The loss for the three months ended September 30, 2020 includes a total of $282,235 in non-cash charges, including depreciation expense of $125,338 and charges for non-cash compensation in the amount of $156,897. The net lossfor the three months ended September 30, 2019 includes a total of $386,538 in non-cash charges, including amortization of intangible assets in the amount of $210,028, depreciation expense of $80,402, and non-cash compensation of $96,108.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decreased by $3,712,235 or approximately 9.2% to $36,538,195 for the nine months ended September 30, 2020 from $40,250,430 in the prior year. The decrease in revenues is primarily attributable to a decrease in specialty foodservice revenues which was driven by the nationwide closures of restaurants and other foodservice establishments related to COVID-19. The decline in specialty foodservice was partially offset with revenues increases mainly associated with e-commerce. The increases in e-commerce revenues were driven by the Company’s ability to increase sales at its e-commerce properties and convert significant shifts in e-commerce specialty food, supermarket trends, and e-commerce grocery trends, driven initially by the COVID-19 pandemic, into e-commerce revenues.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SEC’s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cost of goods sold for the nine months ended September 30, 2020 was $27,237,525, a decrease of $1,370,708 or approximately 4.8% compared to cost of goods sold of $28,608,233 for the nine months ended September 30, 2019. Cost of goods sold is made up of the following expenses for the nine months ended September 30, 2020: cost of goods of specialty, meat, game, cheese, seafood, poultry and other sales categories in the amount of $17,343,148, shipping, delivery, handling, and purchase allowance expenses in the amount of $9,368,498, and cost of goods associated with logistics of $525,879. Total gross margin was approximately 25.5% of sales in 2020 compared to approximately 28.9% of sales in 2019. The decrease in gross margins from 2019 is primarily attributable to variation in product and revenue mix across our various selling channels including a decrease in higher gross margin revenues associated with National Brand Management and variations in both revenue mix and gross margins associated with foodservice and e-commerce revenues including revenue and margin variations driven by the COVID-19 pandemic.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continued to price our products in order to increase sales, gain market share and increase the number of our end users and e-commerce customers. We were successful in both increasing sales and increasing market share and increasing the number of our e-commerce customers. We currently expect, if market conditions, overall economic conditions, and our product revenue mix remain constant, that our cost of goods sold may increase and may result in a decrease in profit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goodwill and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2020, the Company performed impairment tests of our goodwill and intangible assets that incorporated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tests, the Company was required by applicable accounting rules to record an impairment of goodwill and intangible assets in the aggregate amount of $1,698,952. At September 30, 2020, the net carrying value of goodwill and other intangible assets on the Company’s balance sheet is $1,630,822. There was no such comparable charge during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Selling, general, and administrative expenses increased by $2,413,984 or approximately 20.9% to $13,974,822during the nine months ended September 30, 2020 compared to $11,560,838 for the nine months ended September 30, 2019. The increase in selling, general, and administrative expenses was primarily due to increases in payroll and related costs of approximately $1,166,915, including an increase of $80,504 in share based compensation; increases in advertising costs of $849,431; increases in professional and legal fees in the amount of $253,067; an increase in allowance for doubtful accounts of $225,318; increases in computer and IT costs of $167,121; increases in banking and credit card fees of $150,938; increases in insurance costs of $131,845; and increases in taxes of approximately $71,511. These increases were partially offset by a decrease in depreciation and amortization of $353,293, a decrease in travel and entertainment costs of $184,955, and decreases in office, facility, and vehicle costs of $69,715. The increases were driven mainly by additional costs including increases in costs including warehouse fulfillment costs associated with COVID-19, increased costs associated with additional personnel mainly related to warehouse operations, overall employee costs and insurance costs, increased legal, accounting, facility and IT costs including costs associated with the planned launch of new websites, and significant increased advertising associated with increased spending in digital marketing related to certain of the Company’s e-commerce websites.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2020, the Company recognized revenue in the amount of $32,833 in connection with the lease of space in our Mountaintop warehouse facility. There was no such activity during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Fixed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2019, the Company recognized a gain in the amount of $12,495 in connection with the sale of fixed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comparable transaction during the current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expense, net of interest income, increased by $145,811 or approximately 220.9% to $211,815 during the nine months ended September 30, 2020, compared to $66,004 during the nine months ended September 30, 2019. Interest accrued or paid on the Company’s commercial loans and notes payable increased by $136,644 to $207,526 during the current period, compared to $70,882 during the prior period, primarily due to interest on the Company’s mortgage on the logistics and warehouse facility in Mountaintop, Pennsylvania, which was $114,425 during the nine months ended September 30, 2020 compared to $0 during the prior period, and the interest on the credit line with Fifth Third Bank in the amount of $40,493 during the nine months ended September 30, 2020, compared to $0 during the prior period. Interest expense also increased by the amortization of the discount on notes payable, which was $9,403 during the current period, compared to $0 during the comparable period of 2019. Interest income increased by $236 to $5,114 during the current period compared to $4,878 during the prior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reasons above, the Company had a net loss for the nine months ended September 30, 2020 of $(6,552,086) which is an increase of approximately $6,579,936 or 23,626% compared to net income of $27,850 during the nine months ended September 30, 2019. The loss for the nine months ended September 30, 2020 includes a total of $2,879,303 in non-cash charges, including impairment of intangible assets in the amount of $1,698,952, uncollectible debt allowance of $225,138, amortization of intangible assets in the amount of $210,032, depreciation expense of $357,771, charges for non-cash compensation in the amount of $378,006, and amortization of the discount on notes payable of $9,403. The income for the nine months ended September 30, 2019 includes a total of $1,218,600 in non-cash charges, including amortization of intangible assets in the amount of $689,725, depreciation expense of $231,371, and charges for non-cash compensation in the amount of $297,503.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September 30, 2020</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2020, the Company had current assets of $9,137,359, consisting of cash and cash equivalents of $3,717,545, trade accounts receivable of $1,792,109, inventory of $3,254,645, and other current assets of $373,060. Also at September 30, 2020, the Company had current liabilities of $8,217,642, consisting of trade payable and accrued liabilities of $4,049,953, accrued interest of $24,621, deferred revenue of $339,785, line of credit of $2,000,000, lease liabilities – operating leases, current portion of $89,844, lease liabilities – financing leases, current portion of $53,036, current portion of contingent liabilities of $187,000, and current portion of notes payable of $1,473,403.</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2020, the Company had cash used in operating activities of $3,573,616. Cash used in operations consisted of the Company’s consolidated net loss of $(6,552,086) plus non-cash compensation in the amount of $378,006, depreciation and amortization of $567,803, impairment of goodwill and intangible assets of $1,698,952; amortization of right-of-use asset of $137,712, amortization of prepaid loan fees of $9,403, and provision for doubtful accounts of $226,254. The Company’s cash position also decreased due to a change in the components of current assets and liabilities in the amount of $39,660.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cash used in investing activities of $142,618 for the nine months ended September 30, 2020, which consisted of cash paid for the acquisition of property and equipment of $128,618 and cash paid for website development of $14,000.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cash flow from financing activities of $3,467,729 for the nine months ended September 30, 2020, which consisted of advances on a line of credit in the amount of $2,000,000 and proceeds from the PPP Loan of $1,650,221, partially offset by principal payments made on notes payable of $149,705 and principal payments on financing leases of $32,787.</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net working capital of $919,717 as of September 30, 2020. The Company used cash in operations during the nine months ended September 30, 2020 in the amount of $3,573,616. This compares to cash used in operations of $848,376 during the nine months ended September 30, 2019. The Company intends to continue to focus on increasing market share and cash flow from operations by focusing its sales activities on specific market segments and new product lines. As of September 30, 2020, we do not have any material long-term obligations other than those described in Notes 12, 13, and 14 to the financial statements included in this report.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Plans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in addition to our efforts to increase sales in our existing foodservice operations we plan to attempt to expand our business by expanding our focus to additional specialty foods markets in the consumer sector, exploring potential acquisition and partnership opportunities and continuing to extend our focus in the specialty food market through the growth of the Company’s existing sales channels and through a variety of additional sales channel relationships which are currently being explored. We are also continuing to explore the introduction of a variety of new product categories and new product lines, including private label products and proprietary branded products, including products which could leverage the new capabilities of our facility in Mountaintop PA to leverage our existing foodservice and consumer customer base. In addition, the COVID-19 pandemic had accelerated shift towards e-commerce channels and we plan on continuing expanding our e-commerce activities through both our existing web properties, and continuing to explore the launch or relaunch of additional web properties or e-commerce areas within our existing sites, leveraging our fulfillment capabilities to partner in both wholesale and direct to consumer in the e-commerce area. and the expansion of third-party partnerships or other strategic relationships within the e-commerce space.</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Overall, the Company intends to expand its activities in the direct to consumer space and the overall consumer packaged goods (CPG) space through building the market share of igourmet LLC and Mouth Foods, Inc. and through leveraging its overall capabilities in the consumer space.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 assurances can be given that any of these plans will come to fruition or that if implemented that they will necessarily yield positive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inflation has not had a material effect on the Company’s financial condition or results of its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Company’s business and success is subject to numerous risk factors as detailed in its Annual Report on Form 10-K for the year ended December 31, 2019 and other of its Current Reports on Form 8-K all of which reports are available at no cost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identified a control deficiency regarding the integration of two acquisitions in 2018 and as a result management has concluded our internal control over financial reporting was ineffective at September 30, 2020 at the reasonable assurance level. Management of the Company believes that this deficiency is primarily due to the smaller size of the company’s accounting staff in relation to certain continued system integrations related to the 2018 acquisitions of certain assets of igourmet LLC and Mouth Foods, Inc. To address this matter, we have expanded our accounting staff and we expect to retain additional qualified personnel to continue to remediate this control deficiency in the future. In making this assessment, our management used the criteria set forth by the Committee of Sponsoring Organizations of the Treadway Commission (“COSO”) in Internal Control-Integrated Framework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Innovative Gourmet LLC and Food Innovations, Inc. The complaint in the PA Action alleges, inter alia, wrongful death and negligence by a driver employed by Innovative Gourmet and indicates a demand and offer to settle for fifty million dollars. We expect that should a settlement occur the amount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offered, we intend to further aggressively pursue the Company’s and its subsidiaries’ insurance coverage under their umbrella and other available policies. In addition, the Company has been defending this action and believes that the likely outcome would result in any liabilities being covered by its insurance carriers. However, if the Company was found responsible for damages in excess of its available insurance coverage, such damages in excess of the coverage could have a material adverse effect on the Company’s operations. On July 16, 2020, the court granted the Company's motion to stay the case through the final adjudication of an additional legal proceeding which may be brought in the future in connection with the events related to the case. It is not anticipated that the Company and its subsidiaries will be a party to any other legal proceedings in connection with this matter.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0200" w:type="dxa"/>
            <w:vAlign w:val="bottom"/>
            <w:gridSpan w:val="4"/>
          </w:tcPr>
          <w:p>
            <w:pPr>
              <w:spacing w:after="0"/>
              <w:rPr>
                <w:rFonts w:ascii="Arial" w:cs="Arial" w:eastAsia="Arial" w:hAnsi="Arial"/>
                <w:sz w:val="18"/>
                <w:szCs w:val="18"/>
                <w:color w:val="0000EE"/>
                <w:w w:val="96"/>
              </w:rPr>
            </w:pPr>
            <w:hyperlink r:id="rId66">
              <w:r>
                <w:rPr>
                  <w:rFonts w:ascii="Arial" w:cs="Arial" w:eastAsia="Arial" w:hAnsi="Arial"/>
                  <w:sz w:val="18"/>
                  <w:szCs w:val="18"/>
                  <w:color w:val="0000EE"/>
                  <w:w w:val="96"/>
                </w:rPr>
                <w:t>Articles of Incorporation (incorporated by reference to exhibit 3.1 of the Company’s annual report on Form 10-KSB for the year ended</w:t>
              </w:r>
            </w:hyperlink>
          </w:p>
        </w:tc>
      </w:tr>
      <w:tr>
        <w:trPr>
          <w:trHeight w:val="196"/>
        </w:trPr>
        <w:tc>
          <w:tcPr>
            <w:tcW w:w="104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December 31, 2004 filed with the Securities and Exchange Commission on September 28, 2005).</w:t>
              </w:r>
            </w:hyperlink>
          </w:p>
        </w:tc>
        <w:tc>
          <w:tcPr>
            <w:tcW w:w="3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200" w:type="dxa"/>
            <w:vAlign w:val="bottom"/>
            <w:tcBorders>
              <w:bottom w:val="single" w:sz="8" w:color="0000EE"/>
            </w:tcBorders>
            <w:gridSpan w:val="4"/>
          </w:tcPr>
          <w:p>
            <w:pPr>
              <w:spacing w:after="0"/>
              <w:rPr>
                <w:rFonts w:ascii="Arial" w:cs="Arial" w:eastAsia="Arial" w:hAnsi="Arial"/>
                <w:sz w:val="18"/>
                <w:szCs w:val="18"/>
                <w:color w:val="0000EE"/>
                <w:w w:val="93"/>
              </w:rPr>
            </w:pPr>
            <w:hyperlink r:id="rId67">
              <w:r>
                <w:rPr>
                  <w:rFonts w:ascii="Arial" w:cs="Arial" w:eastAsia="Arial" w:hAnsi="Arial"/>
                  <w:sz w:val="18"/>
                  <w:szCs w:val="18"/>
                  <w:color w:val="0000EE"/>
                  <w:w w:val="93"/>
                </w:rPr>
                <w:t>Amended Bylaws of the Company (incorporated by reference to exhibit 3.2 of the Company’s annual report Form 10-K for the year ended</w:t>
              </w:r>
            </w:hyperlink>
          </w:p>
        </w:tc>
      </w:tr>
      <w:tr>
        <w:trPr>
          <w:trHeight w:val="196"/>
        </w:trPr>
        <w:tc>
          <w:tcPr>
            <w:tcW w:w="1040" w:type="dxa"/>
            <w:vAlign w:val="bottom"/>
          </w:tcPr>
          <w:p>
            <w:pPr>
              <w:spacing w:after="0"/>
              <w:rPr>
                <w:sz w:val="17"/>
                <w:szCs w:val="17"/>
                <w:color w:val="auto"/>
              </w:rPr>
            </w:pPr>
          </w:p>
        </w:tc>
        <w:tc>
          <w:tcPr>
            <w:tcW w:w="10200" w:type="dxa"/>
            <w:vAlign w:val="bottom"/>
            <w:gridSpan w:val="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December 31, 2010 filed with the Securities and Exchange Commission on March 16, 2011).</w:t>
              </w:r>
            </w:hyperlink>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6700" w:type="dxa"/>
            <w:vAlign w:val="bottom"/>
            <w:tcBorders>
              <w:top w:val="single" w:sz="8" w:color="0000EE"/>
            </w:tcBorders>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302 Certification</w:t>
              </w:r>
            </w:hyperlink>
          </w:p>
        </w:tc>
        <w:tc>
          <w:tcPr>
            <w:tcW w:w="3500" w:type="dxa"/>
            <w:vAlign w:val="bottom"/>
            <w:gridSpan w:val="3"/>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Section 302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Section 906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Section 906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648"/>
        </w:trPr>
        <w:tc>
          <w:tcPr>
            <w:tcW w:w="1040" w:type="dxa"/>
            <w:vAlign w:val="bottom"/>
          </w:tcPr>
          <w:p>
            <w:pPr>
              <w:spacing w:after="0"/>
              <w:rPr>
                <w:sz w:val="24"/>
                <w:szCs w:val="24"/>
                <w:color w:val="auto"/>
              </w:rPr>
            </w:pPr>
          </w:p>
        </w:tc>
        <w:tc>
          <w:tcPr>
            <w:tcW w:w="6700" w:type="dxa"/>
            <w:vAlign w:val="bottom"/>
          </w:tcPr>
          <w:p>
            <w:pPr>
              <w:ind w:left="450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9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94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Klepfish</w:t>
            </w:r>
          </w:p>
        </w:tc>
        <w:tc>
          <w:tcPr>
            <w:tcW w:w="4460" w:type="dxa"/>
            <w:vAlign w:val="bottom"/>
            <w:gridSpan w:val="2"/>
          </w:tcPr>
          <w:p>
            <w:pPr>
              <w:ind w:left="920"/>
              <w:spacing w:after="0"/>
              <w:rPr>
                <w:sz w:val="20"/>
                <w:szCs w:val="20"/>
                <w:color w:val="auto"/>
              </w:rPr>
            </w:pPr>
            <w:r>
              <w:rPr>
                <w:rFonts w:ascii="Arial" w:cs="Arial" w:eastAsia="Arial" w:hAnsi="Arial"/>
                <w:sz w:val="18"/>
                <w:szCs w:val="18"/>
                <w:color w:val="auto"/>
              </w:rPr>
              <w:t>Chief Executive Officer</w:t>
            </w:r>
          </w:p>
        </w:tc>
        <w:tc>
          <w:tcPr>
            <w:tcW w:w="9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November 16, 2020</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Sam Klepfish</w:t>
            </w:r>
          </w:p>
        </w:tc>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Norma Vila</w:t>
            </w:r>
          </w:p>
        </w:tc>
        <w:tc>
          <w:tcPr>
            <w:tcW w:w="4460" w:type="dxa"/>
            <w:vAlign w:val="bottom"/>
            <w:gridSpan w:val="2"/>
          </w:tcPr>
          <w:p>
            <w:pPr>
              <w:ind w:left="920"/>
              <w:spacing w:after="0"/>
              <w:rPr>
                <w:sz w:val="20"/>
                <w:szCs w:val="20"/>
                <w:color w:val="auto"/>
              </w:rPr>
            </w:pPr>
            <w:r>
              <w:rPr>
                <w:rFonts w:ascii="Arial" w:cs="Arial" w:eastAsia="Arial" w:hAnsi="Arial"/>
                <w:sz w:val="18"/>
                <w:szCs w:val="18"/>
                <w:color w:val="auto"/>
              </w:rPr>
              <w:t>Principal Accounting Officer</w:t>
            </w:r>
          </w:p>
        </w:tc>
        <w:tc>
          <w:tcPr>
            <w:tcW w:w="9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November 16, 2020</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Norma Vila</w:t>
            </w:r>
          </w:p>
        </w:tc>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Sam Klepfish,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29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 Chief Executive Officer</w:t>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Norma Vila,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Norma 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986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9862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Norma Vila, Principle Accounting Officer</w:t>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September 30, 2020 as filed with the Securities and Exchange Commission on the date hereof (the “Report”), I, Sam Klepfish,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7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8472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2020</w:t>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September 30, 2020 as filed with the Securities and Exchange Commission on the date hereof (the “Report”), I, Norma Vila, Principal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Norma 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718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Norma Vila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6" Type="http://schemas.openxmlformats.org/officeDocument/2006/relationships/hyperlink" Target="http://www.sec.gov/Archives/edgar/data/312257/000114420405030172/v025859_ex3-1.htm" TargetMode="External"/><Relationship Id="rId67" Type="http://schemas.openxmlformats.org/officeDocument/2006/relationships/hyperlink" Target="http://www.sec.gov/Archives/edgar/data/312257/000118518511000325/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2020-11-16T16:19:42Z</dcterms:created>
  <dcterms:modified xsi:type="dcterms:W3CDTF">2020-11-16T16:19:42Z</dcterms:modified>
</cp:coreProperties>
</file>