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left="3660" w:right="720" w:hanging="2930"/>
        <w:spacing w:after="0" w:line="479" w:lineRule="auto"/>
        <w:tabs>
          <w:tab w:leader="none" w:pos="94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AND EXCHANGE ACT OF 1934 For the quarterly period ended September 30, 2025</w:t>
      </w:r>
    </w:p>
    <w:p>
      <w:pPr>
        <w:spacing w:after="0" w:line="38" w:lineRule="exact"/>
        <w:rPr>
          <w:sz w:val="24"/>
          <w:szCs w:val="24"/>
          <w:color w:val="auto"/>
        </w:rPr>
      </w:pPr>
    </w:p>
    <w:p>
      <w:pPr>
        <w:ind w:left="1720" w:hanging="211"/>
        <w:spacing w:after="0"/>
        <w:tabs>
          <w:tab w:leader="none" w:pos="17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EXCHANGE ACT OF 1934</w:t>
      </w:r>
    </w:p>
    <w:p>
      <w:pPr>
        <w:spacing w:after="0" w:line="216"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780" w:type="dxa"/>
            <w:vAlign w:val="bottom"/>
            <w:tcBorders>
              <w:bottom w:val="single" w:sz="8" w:color="auto"/>
            </w:tcBorders>
            <w:gridSpan w:val="2"/>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412"/>
        </w:trPr>
        <w:tc>
          <w:tcPr>
            <w:tcW w:w="420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Commission File Number: 000-09376</w:t>
            </w:r>
          </w:p>
        </w:tc>
        <w:tc>
          <w:tcPr>
            <w:tcW w:w="40" w:type="dxa"/>
            <w:vAlign w:val="bottom"/>
          </w:tcPr>
          <w:p>
            <w:pPr>
              <w:spacing w:after="0"/>
              <w:rPr>
                <w:sz w:val="24"/>
                <w:szCs w:val="24"/>
                <w:color w:val="auto"/>
              </w:rPr>
            </w:pPr>
          </w:p>
        </w:tc>
      </w:tr>
      <w:tr>
        <w:trPr>
          <w:trHeight w:val="20"/>
        </w:trPr>
        <w:tc>
          <w:tcPr>
            <w:tcW w:w="2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154305</wp:posOffset>
            </wp:positionV>
            <wp:extent cx="135445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INNOVATIVE FOOD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6"/>
          </w:tcPr>
          <w:p>
            <w:pPr>
              <w:ind w:left="248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20-1167761</w:t>
            </w:r>
          </w:p>
        </w:tc>
      </w:tr>
      <w:tr>
        <w:trPr>
          <w:trHeight w:val="191"/>
        </w:trPr>
        <w:tc>
          <w:tcPr>
            <w:tcW w:w="5520" w:type="dxa"/>
            <w:vAlign w:val="bottom"/>
            <w:tcBorders>
              <w:top w:val="single" w:sz="8" w:color="auto"/>
            </w:tcBorders>
            <w:gridSpan w:val="2"/>
          </w:tcPr>
          <w:p>
            <w:pPr>
              <w:ind w:left="17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6"/>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8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2528 S. 27th Ave. Broadview, Illinois</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60155</w:t>
            </w:r>
          </w:p>
        </w:tc>
      </w:tr>
      <w:tr>
        <w:trPr>
          <w:trHeight w:val="228"/>
        </w:trPr>
        <w:tc>
          <w:tcPr>
            <w:tcW w:w="5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(239) 596-0204</w:t>
            </w:r>
          </w:p>
        </w:tc>
        <w:tc>
          <w:tcPr>
            <w:tcW w:w="15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6"/>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7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93" w:right="339" w:bottom="843" w:gutter="0" w:footer="0" w:header="0"/>
        </w:sectPr>
      </w:pPr>
    </w:p>
    <w:p>
      <w:pPr>
        <w:spacing w:after="0" w:line="5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52" w:lineRule="exact"/>
        <w:rPr>
          <w:sz w:val="24"/>
          <w:szCs w:val="24"/>
          <w:color w:val="auto"/>
        </w:rPr>
      </w:pPr>
    </w:p>
    <w:p>
      <w:pPr>
        <w:sectPr>
          <w:pgSz w:w="11900" w:h="16838" w:orient="portrait"/>
          <w:cols w:equalWidth="0" w:num="2">
            <w:col w:w="4900" w:space="720"/>
            <w:col w:w="5620"/>
          </w:cols>
          <w:pgMar w:left="320" w:top="493" w:right="339" w:bottom="843"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Regulation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54,785,684 shares of common stock outstanding as of November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84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20" w:type="dxa"/>
            <w:vAlign w:val="bottom"/>
            <w:gridSpan w:val="5"/>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INNOVATIVE FOOD HOLDINGS, INC.</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gridSpan w:val="5"/>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TABLE OF CONTENTS TO FORM 10-Q</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5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580" w:type="dxa"/>
            <w:vAlign w:val="bottom"/>
            <w:gridSpan w:val="16"/>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7800" w:type="dxa"/>
            <w:vAlign w:val="bottom"/>
            <w:gridSpan w:val="8"/>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7080" w:type="dxa"/>
            <w:vAlign w:val="bottom"/>
            <w:gridSpan w:val="6"/>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9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Stockholders’ Equity</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00" w:type="dxa"/>
            <w:vAlign w:val="bottom"/>
            <w:tcBorders>
              <w:top w:val="single" w:sz="8" w:color="0000EE"/>
            </w:tcBorders>
          </w:tcPr>
          <w:p>
            <w:pPr>
              <w:spacing w:after="0"/>
              <w:rPr>
                <w:sz w:val="17"/>
                <w:szCs w:val="17"/>
                <w:color w:val="auto"/>
              </w:rPr>
            </w:pPr>
          </w:p>
        </w:tc>
        <w:tc>
          <w:tcPr>
            <w:tcW w:w="6420" w:type="dxa"/>
            <w:vAlign w:val="bottom"/>
            <w:gridSpan w:val="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9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Notes to the Consolidated Financial Statements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560" w:type="dxa"/>
            <w:vAlign w:val="bottom"/>
            <w:tcBorders>
              <w:left w:val="single" w:sz="8" w:color="0000EE"/>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56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5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80" w:type="dxa"/>
            <w:vAlign w:val="bottom"/>
            <w:tcBorders>
              <w:top w:val="single" w:sz="8" w:color="0000EE"/>
            </w:tcBorders>
            <w:gridSpan w:val="3"/>
          </w:tcPr>
          <w:p>
            <w:pPr>
              <w:spacing w:after="0"/>
              <w:rPr>
                <w:sz w:val="17"/>
                <w:szCs w:val="17"/>
                <w:color w:val="auto"/>
              </w:rPr>
            </w:pPr>
          </w:p>
        </w:tc>
        <w:tc>
          <w:tcPr>
            <w:tcW w:w="8100" w:type="dxa"/>
            <w:vAlign w:val="bottom"/>
            <w:gridSpan w:val="9"/>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99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675"/>
        </w:trPr>
        <w:tc>
          <w:tcPr>
            <w:tcW w:w="68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5700" w:type="dxa"/>
            <w:vAlign w:val="bottom"/>
            <w:tcBorders>
              <w:bottom w:val="single" w:sz="8" w:color="auto"/>
            </w:tcBorders>
            <w:gridSpan w:val="12"/>
          </w:tcPr>
          <w:p>
            <w:pPr>
              <w:jc w:val="center"/>
              <w:ind w:left="2570"/>
              <w:spacing w:after="0"/>
              <w:rPr>
                <w:sz w:val="20"/>
                <w:szCs w:val="20"/>
                <w:color w:val="auto"/>
              </w:rPr>
            </w:pPr>
            <w:r>
              <w:rPr>
                <w:rFonts w:ascii="Times New Roman" w:cs="Times New Roman" w:eastAsia="Times New Roman" w:hAnsi="Times New Roman"/>
                <w:sz w:val="18"/>
                <w:szCs w:val="18"/>
                <w:color w:val="auto"/>
                <w:w w:val="88"/>
              </w:rPr>
              <w:t>2</w:t>
            </w:r>
          </w:p>
        </w:tc>
        <w:tc>
          <w:tcPr>
            <w:tcW w:w="3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684,322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1,278,088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restricted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507,517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859,781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5,208,208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5,862,445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4,248,428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3,508,488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179,526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235,125</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7,783,941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12,146,447</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18,611,942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23,890,374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1,268,891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1,271,811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Right of use assets - operating leases,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521,050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705,476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assets - finance leases,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83,348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359,637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424,372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Indefinite intangible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assets – discontinued operations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753,992</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21,084,006</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27,346,373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3,485,360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4,436,042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separation costs - related parties,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344,003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334,532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appreciation rights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276,052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1,353,150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82,191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 operating leases,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247,727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239,660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 - finance leases,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24,928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60,519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liability,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54,430</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9,197,329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2,834,800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13,640,445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9,414,190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282,793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separation costs - related parties, non-current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457,692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 operating leases,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280,173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467,569</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 - finance leases, non-current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85,092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139,591</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liabilities – discontinued operations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8,409,881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14,639,356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19,171,716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&amp; Contingencies (see note 21)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57,279,246 and 56,009,032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54,434,949 and 53,164,735 shares outstanding at September 30, 2025 and December 31, 2024,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to be issued; 350,735 and 738,032 shares at September 30, 2025 and December 31, 2024,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45,881,149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45,520,121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2,644,297 shares outstanding at September 30, 2025 and December 31, 2024, at cost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(1,141,372)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(1,141,372)</w:t>
            </w:r>
          </w:p>
        </w:tc>
        <w:tc>
          <w:tcPr>
            <w:tcW w:w="0" w:type="dxa"/>
            <w:vAlign w:val="bottom"/>
          </w:tcPr>
          <w:p>
            <w:pPr>
              <w:spacing w:after="0"/>
              <w:rPr>
                <w:sz w:val="1"/>
                <w:szCs w:val="1"/>
                <w:color w:val="auto"/>
              </w:rPr>
            </w:pPr>
          </w:p>
        </w:tc>
      </w:tr>
      <w:tr>
        <w:trPr>
          <w:trHeight w:val="22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(38,300,886)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(36,209,764)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6,444,650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21,084,006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27,346,373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jc w:val="center"/>
              <w:ind w:left="1190"/>
              <w:spacing w:after="0"/>
              <w:rPr>
                <w:sz w:val="20"/>
                <w:szCs w:val="20"/>
                <w:color w:val="auto"/>
              </w:rPr>
            </w:pPr>
            <w:r>
              <w:rPr>
                <w:rFonts w:ascii="Times New Roman" w:cs="Times New Roman" w:eastAsia="Times New Roman" w:hAnsi="Times New Roman"/>
                <w:sz w:val="18"/>
                <w:szCs w:val="18"/>
                <w:color w:val="auto"/>
                <w:w w:val="99"/>
              </w:rPr>
              <w:t>See condensed notes to these unaudited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16" w:right="339" w:bottom="97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97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6080" w:type="dxa"/>
            <w:vAlign w:val="bottom"/>
            <w:gridSpan w:val="5"/>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80" w:type="dxa"/>
            <w:vAlign w:val="bottom"/>
            <w:gridSpan w:val="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For the Nine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Nine</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0"/>
        </w:trPr>
        <w:tc>
          <w:tcPr>
            <w:tcW w:w="1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128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16,423,716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15,866,583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49,247,466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45,491,432</w:t>
            </w:r>
          </w:p>
        </w:tc>
        <w:tc>
          <w:tcPr>
            <w:tcW w:w="100" w:type="dxa"/>
            <w:vAlign w:val="bottom"/>
            <w:shd w:val="clear" w:color="auto" w:fill="CCEEFF"/>
          </w:tcPr>
          <w:p>
            <w:pPr>
              <w:spacing w:after="0"/>
              <w:rPr>
                <w:sz w:val="18"/>
                <w:szCs w:val="18"/>
                <w:color w:val="auto"/>
              </w:rPr>
            </w:pPr>
          </w:p>
        </w:tc>
      </w:tr>
      <w:tr>
        <w:trPr>
          <w:trHeight w:val="23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12,567,437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12,195,250</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37,192,111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34,485,730</w:t>
            </w:r>
          </w:p>
        </w:tc>
      </w:tr>
      <w:tr>
        <w:trPr>
          <w:trHeight w:val="209"/>
        </w:trPr>
        <w:tc>
          <w:tcPr>
            <w:tcW w:w="4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3,856,279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3,671,333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12,055,355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3,192,918</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2,821,901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10,304,968</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9,404,516</w:t>
            </w:r>
          </w:p>
        </w:tc>
      </w:tr>
      <w:tr>
        <w:trPr>
          <w:trHeight w:val="210"/>
        </w:trPr>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3,192,918</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2,821,901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10,304,968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9,404,516</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663,361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849,432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1,750,387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1,601,186</w:t>
            </w:r>
          </w:p>
        </w:tc>
      </w:tr>
      <w:tr>
        <w:trPr>
          <w:trHeight w:val="216"/>
        </w:trPr>
        <w:tc>
          <w:tcPr>
            <w:tcW w:w="12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(22,925)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36,592</w:t>
            </w:r>
          </w:p>
        </w:tc>
      </w:tr>
      <w:tr>
        <w:trPr>
          <w:trHeight w:val="216"/>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1,807,516</w:t>
            </w:r>
          </w:p>
        </w:tc>
      </w:tr>
      <w:tr>
        <w:trPr>
          <w:trHeight w:val="216"/>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21,126</w:t>
            </w:r>
          </w:p>
        </w:tc>
      </w:tr>
      <w:tr>
        <w:trPr>
          <w:trHeight w:val="229"/>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leasing income</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4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650,599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861,011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1,729,974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3,466,420</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650,599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861,011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1,729,974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3,466,420</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(2,369,795)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473,819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(3,821,096)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(809,040)</w:t>
            </w:r>
          </w:p>
        </w:tc>
      </w:tr>
      <w:tr>
        <w:trPr>
          <w:trHeight w:val="210"/>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(1,719,196)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1,334,830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(2,091,122)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2,657,380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 - basic</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 - diluted</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from discontinued operations - basic</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from discontinued operations - diluted</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54,785,684</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50,995,008</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54,514,230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50,518,152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54,785,684</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51,639,238</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54,514,230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51,162,382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gridSpan w:val="1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and Nine Months Ended September 30, 2025 and 2024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98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52,562,238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$42,950,189</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2,644,297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(1,141,372)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(37,498,728)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4,315,342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105,269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105,269</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1,415,544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for the three months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ended September 30, 2024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1,334,830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1,334,830</w:t>
            </w:r>
          </w:p>
        </w:tc>
        <w:tc>
          <w:tcPr>
            <w:tcW w:w="0" w:type="dxa"/>
            <w:vAlign w:val="bottom"/>
          </w:tcPr>
          <w:p>
            <w:pPr>
              <w:spacing w:after="0"/>
              <w:rPr>
                <w:sz w:val="1"/>
                <w:szCs w:val="1"/>
                <w:color w:val="auto"/>
              </w:rPr>
            </w:pPr>
          </w:p>
        </w:tc>
      </w:tr>
      <w:tr>
        <w:trPr>
          <w:trHeight w:val="174"/>
        </w:trPr>
        <w:tc>
          <w:tcPr>
            <w:tcW w:w="230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 30,</w:t>
            </w: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53,977,782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43,055,316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2,644,297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(1,141,372)</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(36,163,898)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5,755,441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57,196,294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433,687</w:t>
            </w: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$45,722,436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2,644,297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(1,141,372)</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(36,581,690)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8,005,133</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158,713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158,713</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82,952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(82,952)</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for the three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months ended September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30, 2025</w:t>
            </w:r>
          </w:p>
        </w:tc>
        <w:tc>
          <w:tcPr>
            <w:tcW w:w="10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(1,719,196)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(1,719,196)</w:t>
            </w:r>
          </w:p>
        </w:tc>
        <w:tc>
          <w:tcPr>
            <w:tcW w:w="0" w:type="dxa"/>
            <w:vAlign w:val="bottom"/>
          </w:tcPr>
          <w:p>
            <w:pPr>
              <w:spacing w:after="0"/>
              <w:rPr>
                <w:sz w:val="1"/>
                <w:szCs w:val="1"/>
                <w:color w:val="auto"/>
              </w:rPr>
            </w:pPr>
          </w:p>
        </w:tc>
      </w:tr>
      <w:tr>
        <w:trPr>
          <w:trHeight w:val="174"/>
        </w:trPr>
        <w:tc>
          <w:tcPr>
            <w:tcW w:w="230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 30,</w:t>
            </w: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57,279,246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350,735</w:t>
            </w: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45,881,149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2,644,297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(1,141,372)</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(38,300,886)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6,444,650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52,538,100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$ 42,762,811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2,623,171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(1,141,370)</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(38,821,278)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2,805,414</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returned to treasury</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from sale of subsidiary</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(21,124)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21,126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(21,126)</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313,773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313,773</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1,415,544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cashless</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for the nine months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ended September 30, 2024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2,657,380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2,657,380</w:t>
            </w:r>
          </w:p>
        </w:tc>
        <w:tc>
          <w:tcPr>
            <w:tcW w:w="0" w:type="dxa"/>
            <w:vAlign w:val="bottom"/>
          </w:tcPr>
          <w:p>
            <w:pPr>
              <w:spacing w:after="0"/>
              <w:rPr>
                <w:sz w:val="1"/>
                <w:szCs w:val="1"/>
                <w:color w:val="auto"/>
              </w:rPr>
            </w:pPr>
          </w:p>
        </w:tc>
      </w:tr>
      <w:tr>
        <w:trPr>
          <w:trHeight w:val="174"/>
        </w:trPr>
        <w:tc>
          <w:tcPr>
            <w:tcW w:w="230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 30,</w:t>
            </w: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53,977,782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43,055,316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2,644,297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(1,141,372)</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(36,163,898)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5,755,441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56,009,032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738,032</w:t>
            </w: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$45,520,121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2,644,297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(1,141,372)</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(36,209,764)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8,174,657</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cashless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options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361,115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361,115</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earned but not yet</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under stock based</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798,891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1,186,188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(1,186,188)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for the nine months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ended September 30, 2025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(2,091,122)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(2,091,122)</w:t>
            </w:r>
          </w:p>
        </w:tc>
        <w:tc>
          <w:tcPr>
            <w:tcW w:w="0" w:type="dxa"/>
            <w:vAlign w:val="bottom"/>
          </w:tcPr>
          <w:p>
            <w:pPr>
              <w:spacing w:after="0"/>
              <w:rPr>
                <w:sz w:val="1"/>
                <w:szCs w:val="1"/>
                <w:color w:val="auto"/>
              </w:rPr>
            </w:pPr>
          </w:p>
        </w:tc>
      </w:tr>
      <w:tr>
        <w:trPr>
          <w:trHeight w:val="174"/>
        </w:trPr>
        <w:tc>
          <w:tcPr>
            <w:tcW w:w="230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 30,</w:t>
            </w: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57,279,246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350,735</w:t>
            </w: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45,881,149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2,644,297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(1,141,372)</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(38,300,886)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6,444,650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For the Nine</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Nine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(2,091,122)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(2,641,979)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sale of subsidiaries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(21,126)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fixed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106,591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321,402</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211,488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184,426</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discount on notes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3,852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361,115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derecognition of note payable and accrued interest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(39,154)</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fair value of stock appreciation rights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(1,077,098)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valuation adjustment associated with facility closure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1,376,699</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61,831</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2,837,800</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(697,821)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367,600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(161,062)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(114,539)</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(140,096)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(2,753,747)</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(2,281,618)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separation costs - related parties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(48,221)</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(379,380)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(5,700)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(97,569)</w:t>
            </w:r>
          </w:p>
        </w:tc>
        <w:tc>
          <w:tcPr>
            <w:tcW w:w="0" w:type="dxa"/>
            <w:vAlign w:val="bottom"/>
          </w:tcPr>
          <w:p>
            <w:pPr>
              <w:spacing w:after="0"/>
              <w:rPr>
                <w:sz w:val="1"/>
                <w:szCs w:val="1"/>
                <w:color w:val="auto"/>
              </w:rPr>
            </w:pPr>
          </w:p>
        </w:tc>
      </w:tr>
      <w:tr>
        <w:trPr>
          <w:trHeight w:val="230"/>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(179,329)</w:t>
            </w:r>
          </w:p>
        </w:tc>
        <w:tc>
          <w:tcPr>
            <w:tcW w:w="1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(12,740)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(687,594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(2,717,332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(229,278)</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(309,262)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disposition of asset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54,500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received from disposition of land and building, net of loan payoff</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2,101,185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disposition of intangible assets, net of costs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2,316,923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(132,478)</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(64,878)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financing leases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(179,260)</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(136,078)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line of credit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on line of credit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Reimbursement from restricted cash for capital expenditures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352,264</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(200,956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(821,846)</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(601,365)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1,520,414</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5,422,335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continuing operations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684,322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4,596,637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discontinued operations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14,246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698,568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4,820,970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612,293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456,062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Reclassify fixed assets as held for sale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5,941,933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and accrued interest paid from escrow to Maple Mark Bank</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353,815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under compensation plans</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from common stock to be issued</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stock for cashless exercise of options</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Capitalized interest on financing lease</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1,892</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16" w:right="339" w:bottom="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7"/>
          <w:szCs w:val="17"/>
          <w:color w:val="auto"/>
        </w:rPr>
        <w:t>See condensed notes to these unaudited consolidated financial statements.</w:t>
      </w:r>
    </w:p>
    <w:p>
      <w:pPr>
        <w:sectPr>
          <w:pgSz w:w="11900" w:h="16838" w:orient="portrait"/>
          <w:cols w:equalWidth="0" w:num="1">
            <w:col w:w="9019"/>
          </w:cols>
          <w:pgMar w:left="1440" w:top="337"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ACTIVITIES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those of Innovative Food Holdings, Inc. and all of its wholly-owned subsidiaries (collectively, “we,” “our,” “us” or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2024. In the opinion of management, the interim unaudited consolidated financial statements reflect all adjustments, including normal recurring adjustments, necessary for fair presentation of the interim periods presented. The results of the operations for the three and nine months ended September 30, 2025 are not necessarily indicative of the results of operations to be expected for the full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difficult-to-find specialty foods primarily to both Professional Chefs through our relationships with producers, growers, makers and distributors of these products worldwide. The distribution of these products primarily originates from our two warehouses and those of our drop ship partners, and is driven by our proprietary technology platform. In addition, we provide value-added services through our team of food specialists and Chef Advisors who offer customer support, menu ideas, and preparation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we made the decision to focus more on our Business to Business (B2B) activities and less on our Direct to Consumer (“D2C”) products. Our subsidiaries GROW and Oasis were sold effective December 29, 2023; Haley Food Group, Inc. (“Haley”) was sold effective February 26, 2024, and the activities of P Innovations (“Plantbelly”) were abandoned; the igourmet platform and its D2C components were sold effective August 6, 2024. We continue to operate the B2B component, which remains part of our continuing operations. On October 8, 2024, we sold substantially all of the assets of Mouth. See Note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guidance of Accounts Standards Codification (“ASC”) 205-20,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the accounts of our discontinued entities GROW, Oasis, Haley, Plantbelly, and Mouth have been included in “ Loss from discontinued operations” in our consolidated statements of operations. Additionally, the assets and liabilities of these entities have been presented as discontinued operations in our consolidated balance sheets. On December 29, 2023, the Company completed the sales of its Grow and Oasis subsidiaries; on February 26, 2024, the Company completed the sale of its Haley subsidiary (see Note 4) and the activities of P Innovations (“Plantbelly”) were abandoned; and on October 8, 2024, the Company completed the sale of substantially all of the assets of Mouth. The only remaining discontinued operations on the Company’s balance sheet at December 31, 2024 is cash in the amount of $49,315 held by Mouth. During the third quarter of fiscal 2025, the Company committed to a strategic exit of its retail specialty cheese business, which served as the primary component of its national distribution platform. Accordingly, results for this business for all prior periods presented have been retrospectively reclassified to discontinued operations in accordance with ASC 205-20. In connection with this decision, the Company also elected to discontinue its related logistics operations and specialty cheese cutting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presented in the financial statements of the prior period have been reclassified to conform with the current period presentation of discontinued operations. See Note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allowances for credit losses, allowances for slow moving &amp; obsolete inventory, income taxes, intangible assets, operating and finance right of use assets and liabilities, and equity-based instruments. Actual results may differ from these estimates under different assumptions or conditions.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trade receivables. The Company places its cash and temporary cash in investments with credit quality institutions. At times, such investments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of applicable government mandated insurance limit. As of September 30, 2025 and December 31, 2024, the Company’s largest customer,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Foods, Inc. and its affiliates, accounted for approximately 16% and 11% of accounts receivable, respectively; Sam’s Club, represented 1% and 23%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respectively; and Gate Gourmet, the leading global provider of airline catering solutions and provisioning services for airlines,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23% and 21% of accounts receivable,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September 30, 2025 and December 31, 2024, the total cash in excess of these limits was $0 and $1,016,918,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provides an allowance for credit losses equal to the estimated uncollectible amounts pursuant to the guidance of Accounting Standards Update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(Topic 326) as codified in ASC 326,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The Company utilizes a current and expected credit loss (CECL) impairment model. The Company’s estimate is based on historical collection experience and a review of the current status of trade accounts receivable. It is reasonably possible that the Company’s estimate of the allowance for credit losses will change. Accounts receivable are presented net of an allowance for credit losses of $40,002 at September 30, 2025 and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cost or net realizable value, and is determined by the average cost method. The Company adjusts inventory based upon bi-weekly cycle counts and upon the expiration date of food products. In addition, the Company records a provision for excess, obsolete, and slow-moving inventory. This provision reduces the carrying value of inventory to its net realizable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Financial Accounting Standards Board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inception. Operating lease right-of-use assets (“ROU assets”) and short-term and long-term lease liabilities are included on the face of the consolidated balance sheet.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are included in revenues.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revenue from product sales (i.e., specialty foodservice and e-commerce), the Company recognizes revenue in accordance with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Warehouse and logistics services revenues are primarily comprised of inventory management, order fulfilment and warehousing services. Warehouse and logistics services revenues are recognized at the point in time when the services are rendered to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three and nine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9"/>
                <w:szCs w:val="19"/>
                <w:color w:val="auto"/>
              </w:rPr>
            </w:pPr>
          </w:p>
        </w:tc>
        <w:tc>
          <w:tcPr>
            <w:tcW w:w="24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8,921,558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9,163,285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26,267,866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27,762,919</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3,502,600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3,695,435</w:t>
            </w:r>
          </w:p>
        </w:tc>
        <w:tc>
          <w:tcPr>
            <w:tcW w:w="12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10,313,713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9,543,552</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3,999,558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3,007,863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12,665,887</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8,184,961</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16,423,716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15,866,583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49,247,466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45,491,432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shares issuable under executive compensation plan. Basic and diluted net loss per share is computed based on the weighted average number of shares of common stock outstanding during the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continuing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9" w:lineRule="exact"/>
        <w:rPr>
          <w:sz w:val="20"/>
          <w:szCs w:val="20"/>
          <w:color w:val="auto"/>
        </w:rPr>
      </w:pPr>
    </w:p>
    <w:p>
      <w:pPr>
        <w:ind w:right="1120"/>
        <w:spacing w:after="0" w:line="276" w:lineRule="auto"/>
        <w:rPr>
          <w:sz w:val="20"/>
          <w:szCs w:val="20"/>
          <w:color w:val="auto"/>
        </w:rPr>
      </w:pPr>
      <w:r>
        <w:rPr>
          <w:rFonts w:ascii="Times New Roman" w:cs="Times New Roman" w:eastAsia="Times New Roman" w:hAnsi="Times New Roman"/>
          <w:sz w:val="18"/>
          <w:szCs w:val="18"/>
          <w:color w:val="auto"/>
        </w:rPr>
        <w:t>Dilutive effect of stock issuable under compensation plan Weighted average shares outstanding - diluted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per share from continuing operations - diluted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September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2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gridSpan w:val="2"/>
          </w:tcPr>
          <w:p>
            <w:pPr>
              <w:spacing w:after="0"/>
              <w:rPr>
                <w:sz w:val="16"/>
                <w:szCs w:val="16"/>
                <w:color w:val="auto"/>
              </w:rPr>
            </w:pPr>
          </w:p>
        </w:tc>
      </w:tr>
      <w:tr>
        <w:trPr>
          <w:trHeight w:val="238"/>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650,599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861,011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1,729,974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3,466,420</w:t>
            </w:r>
          </w:p>
        </w:tc>
        <w:tc>
          <w:tcPr>
            <w:tcW w:w="20" w:type="dxa"/>
            <w:vAlign w:val="bottom"/>
          </w:tcPr>
          <w:p>
            <w:pPr>
              <w:spacing w:after="0"/>
              <w:rPr>
                <w:sz w:val="24"/>
                <w:szCs w:val="24"/>
                <w:color w:val="auto"/>
              </w:rPr>
            </w:pPr>
          </w:p>
        </w:tc>
      </w:tr>
      <w:tr>
        <w:trPr>
          <w:trHeight w:val="427"/>
        </w:trPr>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54,785,684</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50,995,008</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54,514,230</w:t>
            </w:r>
          </w:p>
        </w:tc>
        <w:tc>
          <w:tcPr>
            <w:tcW w:w="20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50,518,152</w:t>
            </w:r>
          </w:p>
        </w:tc>
      </w:tr>
      <w:tr>
        <w:trPr>
          <w:trHeight w:val="234"/>
        </w:trPr>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644,230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644,320</w:t>
            </w:r>
          </w:p>
        </w:tc>
        <w:tc>
          <w:tcPr>
            <w:tcW w:w="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54,785,684</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51,639,238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54,514,230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51,162,382</w:t>
            </w:r>
          </w:p>
        </w:tc>
        <w:tc>
          <w:tcPr>
            <w:tcW w:w="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-1010920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-736600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-454025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-136525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00" w:lineRule="exact"/>
        <w:rPr>
          <w:sz w:val="20"/>
          <w:szCs w:val="20"/>
          <w:color w:val="auto"/>
        </w:rPr>
      </w:pPr>
    </w:p>
    <w:p>
      <w:pPr>
        <w:sectPr>
          <w:pgSz w:w="11900" w:h="16838" w:orient="portrait"/>
          <w:cols w:equalWidth="0" w:num="2">
            <w:col w:w="5260" w:space="720"/>
            <w:col w:w="5260"/>
          </w:cols>
          <w:pgMar w:left="320" w:top="229"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there were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September 30, 2025, none of these RSU were vested. There was no charge to operations for these RSUs during the three and nine months ended September 30, 2025.</w:t>
      </w:r>
    </w:p>
    <w:p>
      <w:pPr>
        <w:sectPr>
          <w:pgSz w:w="11900" w:h="16838" w:orient="portrait"/>
          <w:cols w:equalWidth="0" w:num="1">
            <w:col w:w="11240"/>
          </w:cols>
          <w:pgMar w:left="320" w:top="229" w:right="339" w:bottom="1440" w:gutter="0" w:footer="0" w:header="0"/>
          <w:type w:val="continuous"/>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there were a total of 350,735 shares of common stock potentially issuable to the Company’s executive officers pursuant to compensation plans and contingent upon the achievement of certain performance goals; see Notes 14 and 17. These shares have vested and are included in basic shares outstanding and fully-diluted earnings per share for the three and nine months ended September 30, 2025. During the three and nine months ended September 30, 2025, the amount of $158,713 and $361,115, respectively, was charged to stock-based compensation. See Notes 14 and 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basic and diluted EPS: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potentially issuable shares not included in basic earnings per share, and no difference between EPS and fully-diluted EPS for the three and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September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September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680" w:type="dxa"/>
            <w:vAlign w:val="bottom"/>
          </w:tcPr>
          <w:p>
            <w:pPr>
              <w:spacing w:after="0"/>
              <w:rPr>
                <w:sz w:val="20"/>
                <w:szCs w:val="20"/>
                <w:color w:val="auto"/>
              </w:rPr>
            </w:pPr>
          </w:p>
        </w:tc>
        <w:tc>
          <w:tcPr>
            <w:tcW w:w="31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8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3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contractual life (years)</w:t>
            </w:r>
          </w:p>
        </w:tc>
      </w:tr>
      <w:tr>
        <w:trPr>
          <w:trHeight w:val="209"/>
        </w:trPr>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3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3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r>
      <w:tr>
        <w:trPr>
          <w:trHeight w:val="230"/>
        </w:trPr>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3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3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20" w:type="dxa"/>
            <w:vAlign w:val="bottom"/>
          </w:tcPr>
          <w:p>
            <w:pPr>
              <w:spacing w:after="0"/>
              <w:rPr>
                <w:sz w:val="19"/>
                <w:szCs w:val="19"/>
                <w:color w:val="auto"/>
              </w:rPr>
            </w:pPr>
          </w:p>
        </w:tc>
        <w:tc>
          <w:tcPr>
            <w:tcW w:w="3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September 30, 2024, none of these RSU were vested. There was no charge to operations for these RSUs during the three and nine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there were a total of 2,494,990 shares of common stock potentially issuable to the Company’s executive officers pursuant to compensation plans and contingent upon the achievement of certain performance goals; see Notes 14 and 17. Of these, 644,320 shares have vested and are included in fully-diluted shares outstanding during the nine months ended September 30, 2024; 2,490,990 have not vested, and are excluded from the calculation of fully-diluted shares outstanding during the nine months ended September 30, 2024. During the three and nine months ended September 30, 2024, the amounts of $105,269 and $313,773, respectively, were charged to stock-based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fiscal years beginning after December 15, 2026, and interim periods within fiscal years beginning after December 15, 2027. Early adoption is permitted. The Company is currently evaluating the impact ASU 2024-03 will have on its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expensing of U.S. research expenditures and eligible capital expenditures, the permanent extension of certain expiring provisions of the Tax Cuts and Jobs Act, modifications to the international tax framework and the restoration of favorable tax treatment for certain business provisions. The impacts of the OBBBA are reflected in our results for the quarter ended September 30, 2025, and there was no impact to our income tax expense or effective income tax rate.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2025-05, which provides a practical expedient for estimating expected credit losses on short term receivables and contract assets from revenue transactions. The guidance permits a simplified loss rate approach based on historical write off experience and current conditions. The Company is evaluating the standard and its potential effect on the allowance for doubtful accounts and its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2023, in connection with an analysis of the Company’s sales mix and profitability by service offering, management made the strategic decision to focus on the Company’s B2B service offering and to allocate fewer resources to and in some cases to sell certain of the Company’s subsidiaries involved in its D2C service offerings. Pursuant to this strategy, on December 29, 2023, the Company completed the sales of its Grow and Oasis subsidiaries; on February 26, 2024, the Company completed the sale of its Haley subsidiary (see Note 4), and the activities of P Innovations (“Plantbelly”) were abandoned; on October 8, 2024, the Company sold substantially all of the assets of Mouth.</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2025, the Company committed to a strategic exit of its retail specialty cheese business, which served as the primary component of its national distribution platform. In connection with this decision, the Company also elected to discontinue its related logistics operations and specialty cheese cutting activities. As part of this exit, the Company is in the process of selling the associated Pennsylvania production and distribution facility.</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 operating results and related assets and liabilities of the retail specialty cheese business, including igourmet, along with the Company’s logistics subsidiary (LII / IFP) and specialty cheese cutting operations, have been reclassified to discontinued operations for all periods presented.</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 of assets and liabilities included as part of discontinued operations in the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931,393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3,180,188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297,761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6,171,403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5,941,933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 financing leases,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368,138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 - discontinued operations</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7,783,941</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assets - discontinued operations:</w:t>
            </w:r>
          </w:p>
        </w:tc>
        <w:tc>
          <w:tcPr>
            <w:tcW w:w="120" w:type="dxa"/>
            <w:vAlign w:val="bottom"/>
          </w:tcPr>
          <w:p>
            <w:pPr>
              <w:spacing w:after="0"/>
              <w:rPr>
                <w:sz w:val="19"/>
                <w:szCs w:val="19"/>
                <w:color w:val="auto"/>
              </w:rPr>
            </w:pPr>
          </w:p>
        </w:tc>
        <w:tc>
          <w:tcPr>
            <w:tcW w:w="10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 financing leases, net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440,925</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313,067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 - discontinued operations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351,888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2,217,580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343,901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72,481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87,278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8,435,408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107,861</w:t>
            </w:r>
          </w:p>
        </w:tc>
        <w:tc>
          <w:tcPr>
            <w:tcW w:w="0" w:type="dxa"/>
            <w:vAlign w:val="bottom"/>
          </w:tcPr>
          <w:p>
            <w:pPr>
              <w:spacing w:after="0"/>
              <w:rPr>
                <w:sz w:val="1"/>
                <w:szCs w:val="1"/>
                <w:color w:val="auto"/>
              </w:rPr>
            </w:pPr>
          </w:p>
        </w:tc>
      </w:t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 - discontinued operations</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9,197,329</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liabilities - discontinued operations:</w:t>
            </w:r>
          </w:p>
        </w:tc>
        <w:tc>
          <w:tcPr>
            <w:tcW w:w="120" w:type="dxa"/>
            <w:vAlign w:val="bottom"/>
          </w:tcPr>
          <w:p>
            <w:pPr>
              <w:spacing w:after="0"/>
              <w:rPr>
                <w:sz w:val="19"/>
                <w:szCs w:val="19"/>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8,409,881</w:t>
            </w:r>
          </w:p>
        </w:tc>
        <w:tc>
          <w:tcPr>
            <w:tcW w:w="0" w:type="dxa"/>
            <w:vAlign w:val="bottom"/>
          </w:tcPr>
          <w:p>
            <w:pPr>
              <w:spacing w:after="0"/>
              <w:rPr>
                <w:sz w:val="1"/>
                <w:szCs w:val="1"/>
                <w:color w:val="auto"/>
              </w:rPr>
            </w:pPr>
          </w:p>
        </w:tc>
      </w:t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 - discontinued operations</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8,409,881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the after-tax loss from discontinued operations in the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4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1"/>
        </w:trPr>
        <w:tc>
          <w:tcPr>
            <w:tcW w:w="5980" w:type="dxa"/>
            <w:vAlign w:val="bottom"/>
          </w:tcPr>
          <w:p>
            <w:pPr>
              <w:spacing w:after="0"/>
              <w:rPr>
                <w:sz w:val="17"/>
                <w:szCs w:val="17"/>
                <w:color w:val="auto"/>
              </w:rPr>
            </w:pPr>
          </w:p>
        </w:tc>
        <w:tc>
          <w:tcPr>
            <w:tcW w:w="1380" w:type="dxa"/>
            <w:vAlign w:val="bottom"/>
            <w:tcBorders>
              <w:top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gridSpan w:val="2"/>
          </w:tcPr>
          <w:p>
            <w:pPr>
              <w:spacing w:after="0"/>
              <w:rPr>
                <w:sz w:val="17"/>
                <w:szCs w:val="17"/>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2,125,249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1,143,188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9,953,199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3,932,233</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3,619,545</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530,287</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10,726,911</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2,829,410</w:t>
            </w:r>
          </w:p>
        </w:tc>
        <w:tc>
          <w:tcPr>
            <w:tcW w:w="8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(1,494,296)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(570,150)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(746,591)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(2,356,393)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(2,073,222)</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(305,349)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607,509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(690,991)</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161,359</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(2,369,795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473,819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(3,821,096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(809,040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presents the significant operating and investing noncash items in the discontinued operations of the statement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reconcile net loss to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adjustment associated with facility closure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1,376,699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111,950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2,248,795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1,107,540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(1,865,692)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(101,977)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2024, the Company sold its property located at 28411 Race Track Road, Bonita Springs, Florida, for net cash proceeds of $2,101,185, net of the payoff of principal and interest in the amount of $356,215 on Maple Mark Term Loan 2. A gain in the amount of $1,807,516 was recorded on this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SUBSIDIARY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Haley had no assets or liabilities at the time of the sale. The Company valued the 21,126 shares of common stock at the market price on the date of the acquisition of $1.00 per sale and recorded a gain in the amount of $21,126 on this transaction.</w:t>
      </w:r>
    </w:p>
    <w:p>
      <w:pPr>
        <w:sectPr>
          <w:pgSz w:w="11900" w:h="16838" w:orient="portrait"/>
          <w:cols w:equalWidth="0" w:num="1">
            <w:col w:w="11240"/>
          </w:cols>
          <w:pgMar w:left="320" w:top="229"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accounts receivable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405" w:hanging="405"/>
        <w:spacing w:after="0"/>
        <w:tabs>
          <w:tab w:leader="none" w:pos="4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5,248,210   $   5,902,447</w:t>
      </w:r>
    </w:p>
    <w:p>
      <w:pPr>
        <w:spacing w:after="0" w:line="7" w:lineRule="exact"/>
        <w:rPr>
          <w:rFonts w:ascii="Times New Roman" w:cs="Times New Roman" w:eastAsia="Times New Roman" w:hAnsi="Times New Roman"/>
          <w:sz w:val="18"/>
          <w:szCs w:val="18"/>
          <w:color w:val="auto"/>
        </w:rPr>
      </w:pPr>
    </w:p>
    <w:p>
      <w:pPr>
        <w:ind w:left="5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(40,002)(40,002)</w:t>
      </w:r>
    </w:p>
    <w:p>
      <w:pPr>
        <w:spacing w:after="0" w:line="31"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5,208,208</w:t>
        <w:tab/>
        <w:t>$</w:t>
      </w:r>
      <w:r>
        <w:rPr>
          <w:sz w:val="20"/>
          <w:szCs w:val="20"/>
          <w:color w:val="auto"/>
        </w:rPr>
        <w:tab/>
      </w:r>
      <w:r>
        <w:rPr>
          <w:rFonts w:ascii="Times New Roman" w:cs="Times New Roman" w:eastAsia="Times New Roman" w:hAnsi="Times New Roman"/>
          <w:sz w:val="18"/>
          <w:szCs w:val="18"/>
          <w:u w:val="single" w:color="auto"/>
          <w:color w:val="auto"/>
        </w:rPr>
        <w:t>5,862,445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601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229" w:right="339" w:bottom="1440" w:gutter="0" w:footer="0" w:header="0"/>
          <w:type w:val="continuous"/>
        </w:sectPr>
      </w:pP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charged the amount of $33,521 and $61,831 to provision for credit losses, respectively. During the three and nine months ended September 30, 2024, the Company charged the amount of $4,812 and $40,667 to provision for credit losses, respectively.</w:t>
      </w:r>
    </w:p>
    <w:p>
      <w:pPr>
        <w:sectPr>
          <w:pgSz w:w="11900" w:h="16838" w:orient="portrait"/>
          <w:cols w:equalWidth="0" w:num="1">
            <w:col w:w="11240"/>
          </w:cols>
          <w:pgMar w:left="320" w:top="229" w:right="33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consists primarily of specialty food products. At September 30, 2025 and December 31, 2024, inventory consisted of the following:</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Allowance for slow moving &amp; obsolete inventory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 inventory,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12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4,248,428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3,508,488</w:t>
            </w:r>
          </w:p>
        </w:tc>
      </w:tr>
      <w:tr>
        <w:trPr>
          <w:trHeight w:val="234"/>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4,248,428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3,508,488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property and equipment at September 30, 2025 and December 31, 2024 is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208,140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1,044,897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954,118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306,812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262,482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356,601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704,357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688,829</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267,152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286,509</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2,887,959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2,754,433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(1,619,068)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(1,482,622)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amounted to $50,171 and $22,636 for the three months ended September 30, 2025 and 2024, respectively, and $147,480 and $76,765 for the nine months ended September 30, 2025 and 2024, respectively. Depreciation expense for property and equipment is recorded in selling, general &amp; administrative expenses on the Company’s statement of operations. During the nine months ended September 30, 2025 and 2024, the Company acquired property and equipment in the amount of $229,278 and $309,262,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RIGHT OF USE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expense for the three months ended September 30, 2025 and 2024 was entirely comprised of operating leases and amounted to $69,857 and $4,633, respectively. The Company’s lease expense for the nine months ended September 30, 2025 and 2024 was entirely comprised of operating leases and amounted to $212,239 and $9,266,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ROU asset amortization for the three months ended September 30, 2025 and 2024 was $60,454 and $4,175, respectively. The Company’s ROU asset amortization for the nine months ended September 30, 2025 and 2024 was $184,426 and $12,740, respectively. The difference between the lease expense and the associated ROU asset amortization consists of interest.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discount rate for operating leases was 7.00% at September 30, 2025 and December 31, 2024. The weighted-average remaining lease term of operating leases was 2.17 and 2.85 years at September 30, 2025 and December 31, 2024, respectively.</w:t>
      </w:r>
    </w:p>
    <w:p>
      <w:pPr>
        <w:sectPr>
          <w:pgSz w:w="11900" w:h="16838" w:orient="portrait"/>
          <w:cols w:equalWidth="0" w:num="1">
            <w:col w:w="11240"/>
          </w:cols>
          <w:pgMar w:left="320" w:top="229"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assets – operating leases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Warehouse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12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411,955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565,931</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108,214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128,158</w:t>
            </w:r>
          </w:p>
        </w:tc>
      </w:tr>
      <w:tr>
        <w:trPr>
          <w:trHeight w:val="229"/>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r>
      <w:tr>
        <w:trPr>
          <w:trHeight w:val="234"/>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3"/>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521,050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705,476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418,805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108,214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(247,727)</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(239,660)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September 30, 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period ended September 30, 2027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September 30, 2028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34,950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period ended September 30, 2029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17,475</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September 30, 2030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(43,087)</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Right of use asset – financing leases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214,405</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(148,919)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(131,057)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right of use assets for the three months ended September 30, 2025 and 2024 was $5,954 and $5,954,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right of use assets for the nine months ended September 30, 2025 and 2024 was $17,862 and $17,862,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 for financing leases was 5.44% at September 30, 2025 and 5.83 % at December 31, 2024. The weighted-average remaining lease term of financing leases was 2.82 and 2.80 years at September 30, 2025 and December 31,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 are summarized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 amount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$152,548 payable in eighty-four monthly installments of $2,188 including interest at the rate of 5.44%. During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three months ended September 30, 2025, the Company made principal and interest payments on this lease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 in the amounts of $5,942 and $622, respectively; during the nine months ended September 30, 2025,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made principal and interest payments on this lease obligation in the amounts of $11,804 and $1,324,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During the three months ended September 30, 2024, the Company made principal and interest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this lease obligation in the amount of $27,399 and $2,427, respectively; during the nine months ended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2024, the Company made principal and interest payments on this lease obligation in the amount of</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$54,385 and $5,261, respectively.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53,549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 amount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$80,413 payable in eighty-four monthly installments of $1,148 including interest at the rate of 5.0%. During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three months ended September 30, 2025, the Company made principal and interest payments on this lease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 in the amounts of $3,236 and $208, respectively; during the nine months ended September 30, 2025,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made principal and interest payments on this lease obligation in the amounts of $6,431 and $457,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During the three months ended September 30, 2024, the Company made principal and interest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this lease obligation in the amounts of $3,078 and $366, respectively; during the nine months ended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2024, the Company made principal and interest payments on this lease obligation in the amount of</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$6,120 and $770, respectively.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equipment dated September 12, 2024 in the original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of $180,740 payable in sixty monthly payments in the minimum amount of $2,846 including interest at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of 6.01%. The amount of the monthly payments is based upon the amount of supplies and materials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purchases from the lessor each month. During the three months ended September 30, 2025, the Company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made principal and interest payments on this lease obligation in the amount of $0 and capitalized interest in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of $1,130. During the nine months ended September 30, 2025, the Company made principal and interest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this lease obligation in the amounts of $50,830 and $1,579, respectively, and capitalized interest in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of $1,130.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125,632</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200,110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60,519</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139,591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There was no accrued interest on financing leases at September 30, 2025 and December 31, 2024.</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maturities of lease liabilities: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47,771</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19,846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16,458</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13,007</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68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INTANGIBLE ASSETS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acquired certain indefinite intangible assets pursuant to the acquisitions of Artisan and Golden Organics. These assets include trade names and customer lists.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Amortizable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balances of other amortizable intangible assets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lists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lists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amortization expense for the three months ended September 30, 2025 and 2024 was $21,578 and $0, respectively. Total amortization expense for the nine months ended September 30, 2025 and 2024 was $64,735 and $0,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amortization expense for intangible assets as of September 30, 2025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5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86,313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86,313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86,313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79,120</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98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Infinite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non-amortizable intangible assets consist of $217,000 of indefinite intangible assets held by Artisan.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The following is the net book value of these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Indefinite Intangible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Indefinite Intangible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ACCOUNTS PAYABLE AND ACCRUED LIABILITIES</w:t>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at September 30, 2025 and December 31, 2024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payroll and commissions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ACCRUED SEPARATION COSTS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405" w:hanging="405"/>
        <w:spacing w:after="0"/>
        <w:tabs>
          <w:tab w:leader="none" w:pos="4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3,244,181   $   4,087,343</w:t>
      </w:r>
    </w:p>
    <w:p>
      <w:pPr>
        <w:spacing w:after="0" w:line="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241,179348,699</w:t>
      </w:r>
    </w:p>
    <w:p>
      <w:pPr>
        <w:spacing w:after="0" w:line="31"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3,485,360</w:t>
        <w:tab/>
        <w:t>$</w:t>
      </w:r>
      <w:r>
        <w:rPr>
          <w:sz w:val="20"/>
          <w:szCs w:val="20"/>
          <w:color w:val="auto"/>
        </w:rPr>
        <w:tab/>
      </w:r>
      <w:r>
        <w:rPr>
          <w:rFonts w:ascii="Times New Roman" w:cs="Times New Roman" w:eastAsia="Times New Roman" w:hAnsi="Times New Roman"/>
          <w:sz w:val="18"/>
          <w:szCs w:val="18"/>
          <w:u w:val="single" w:color="auto"/>
          <w:color w:val="auto"/>
        </w:rPr>
        <w:t>4,436,042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601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7955" w:space="720"/>
            <w:col w:w="2565"/>
          </w:cols>
          <w:pgMar w:left="320" w:top="229" w:right="339" w:bottom="1440" w:gutter="0" w:footer="0" w:header="0"/>
          <w:type w:val="continuous"/>
        </w:sectPr>
      </w:pP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3, 2023, the Company entered into a Severance Note, an Agreement and General Release, and a Side Letter thereto (the “SK Agreements”) with Sam Klepfish, its prior CEO and a previous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and was released to Mr. Klepfish on his separation date. The $1,000,000 portion is in the form of an unsecured, non-interest bearing-note payable to Mr. Klepfish. The SK Agreements also called for the delivery of 400,000 shares of the Company’s common stock valued at $168,000 based upon the closing price of the Company’s common stock on Mr. Klepfish’s separation date of February 28, 2023, which were delivered to Mr. Klepfish on April 26, 2023; in addition, for delivery on June 1, 2027 of additional shares of the Company’s common stock equal to the greater of (i) the number of shares with an aggregate fair market value of $400,000 on such date, or (ii) 266,666 shares. The Company also agreed to pay a total of $1,199 of the Consolidated Omnibus Reconciliation Act (“COBRA”) insurance costs on behalf of Mr. Klepfish over eighteen months. The total amount initially accrued in connection with the SK Agreements was $1,819,199.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2023, the Company entered into a separation agreement (the “Wiernasz Separation Agreement”) with Justin Wiernasz, a former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initially accrued in connection with the Wiernasz Separation Agreement was $126,451.</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6, 2024, the Company entered into a separation agreement (the “Tang Separation Agreement”) with Richard Tang, its former Chief Financial Officer, effective as of December 31, 2023. Pursuant to the Tang Separation Agreement, the Company has agreed to pay to Mr. Tang, in equal installments over a five-month period, the gross sum of $113,918. In addition, Mr. Tang was reimbursed the amount of $4,000 for legal expenses connected with the review of the Tang Separation Agreement. The severance payment were made in the following installments: (i) $25,890 paid the week of March 4, 2024;</w:t>
      </w:r>
    </w:p>
    <w:p>
      <w:pPr>
        <w:spacing w:after="0" w:line="3" w:lineRule="exact"/>
        <w:rPr>
          <w:sz w:val="20"/>
          <w:szCs w:val="20"/>
          <w:color w:val="auto"/>
        </w:rPr>
      </w:pPr>
    </w:p>
    <w:p>
      <w:pPr>
        <w:ind w:firstLine="8"/>
        <w:spacing w:after="0" w:line="260"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$5,178 paid each successive week for seventeen weeks beginning the week of March 11, 2024, until the severance payment was completed. In addition, the Company reimbursed Tang’s group health insurance premiums under COBRA in the amount of $14,495.</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2025, the Company entered into a separation agreement and general release (the “Bennett Separation Agreement”) with Bill Bennett, pursuant to which Mr. Benett will resign from his position as the Chief Executive Officer of the Company, effective October 3, 2025. Pursuant to the Bennett Separation Agreement, the Company shall (i) pay Mr. Benett a severance payments consisting of salary continuation through December 31, 2025, in the total gross amount of $115,501, payable in installments on the Company’s regular payroll dates; and (ii) reimbursement of Mr. Bennett’s group health insurance premiums for the period from November 1, 2025 through September 30, 2026 in the total gross amount of $31,515. See Note 22. At September 30, 2025, the Company had not made any payments under the Bennett Separation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paid cash in the amount of $55,556 and $83,333, respectively, to Mr. Klepfish in connection with the SK Agreements. During the nine months ended September 30, 2025 and 2024, the Company paid cash in the amount of $222,222 and $250,000, respectively, to Mr. Klepfish in connection with the SK Agreements.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made COBRA payments on behalf of Mr. Wiernasz in the amount of $0 and $967,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made the following payments in connection with the Tang Separation Agreement: The Company paid cash to Mr. Tang in the amount of $0 and $5,178, respectively; and COBRA payments on behalf of Mr. Tang in the amount of $0 and $2,956,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made the following payments in connection with the Tang Separation Agreement: The Company paid cash to Mr. Tang in the amount of $0 and $113,918, respectively; and COBRA payments on behalf of Mr. Tang in the amount of $0 and $14,495,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amounts accrued, paid, and outstanding on these agreements as of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Paid /</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Mr. Klepfish:</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1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through March 6,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(831,196)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168,804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168,804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 upon agreement execution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 June 1, 2027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 Issued in April 2023</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168,000</w:t>
            </w:r>
          </w:p>
        </w:tc>
        <w:tc>
          <w:tcPr>
            <w:tcW w:w="2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(168,000)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 Mr. Klepfish</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1,819,199</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(1,249,196</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570,003</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170,003</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Mr. Wiernasz:</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three equal payments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26,451</w:t>
            </w:r>
          </w:p>
        </w:tc>
        <w:tc>
          <w:tcPr>
            <w:tcW w:w="200" w:type="dxa"/>
            <w:vAlign w:val="bottom"/>
          </w:tcPr>
          <w:p>
            <w:pPr>
              <w:spacing w:after="0"/>
              <w:rPr>
                <w:sz w:val="19"/>
                <w:szCs w:val="19"/>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(26,451)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Mr. Wiernasz</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 over seventeen weeks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113,918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(113,918)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five months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14,495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(14,495)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 Mr. Tang</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Mr. Bennett: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installments through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115,501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Insurance – installments through September 30, 2026</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58,499</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58,499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58,499</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Mr. Bennett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2,248,063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(1,504,060)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744,003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344,003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893"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893"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APPRECIATION RIGHTS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(“COO”). See Note 17.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See Note 17 for calculation method and significant assumptions used in the valuation model.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valuation of the Smallwood SARs is summarized in the table below:</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2023 - fair value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245,226</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2023 -fair value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1,098,130</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 fair value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60,595</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2025 - fair value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(287,858)</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2025 - fair value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(849,835)</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2025 - fair value</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LINE OF CREDIT</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 June 6, 2022, the Company entered into a revolving credit facility with MapleMark (the “MapleMark</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 which expired on August 25, 2025. The amount available under the MapleMark Revolver was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$1,500,000. Principal and interest payments due under the MapleMark Revolver were payable monthly. Amounts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under the MapleMark Revolver bore interest at the greater of (a) the Base Rate (the rate of interest per annum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quoted in the “Money Rates” section of The Wall Street Journal from time to time and designated as the “Prime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plus 0.25% per annum and (b) 5.50% per annum.</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Company borrowed the amount of $500,000 under the</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Revolver, and repaid the amount of $500,000. During the three and nine months ended September 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the Company paid interest in the amount of $0 and $1,804 on the MapleMark Revolver, respectively. During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nine months ended September 30, 2024, the Company did not draw on the MapleMark Revolved and no</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was incurred.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5"/>
        </w:trPr>
        <w:tc>
          <w:tcPr>
            <w:tcW w:w="83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NOTES PAYABLE</w:t>
      </w:r>
    </w:p>
    <w:p>
      <w:pPr>
        <w:spacing w:after="0" w:line="225" w:lineRule="exact"/>
        <w:rPr>
          <w:sz w:val="20"/>
          <w:szCs w:val="20"/>
          <w:color w:val="auto"/>
        </w:rPr>
      </w:pPr>
    </w:p>
    <w:tbl>
      <w:tblPr>
        <w:tblLayout w:type="fixed"/>
        <w:tblInd w:w="8680" w:type="dxa"/>
        <w:tblCellMar>
          <w:top w:w="0" w:type="dxa"/>
          <w:left w:w="0" w:type="dxa"/>
          <w:bottom w:w="0" w:type="dxa"/>
          <w:right w:w="0" w:type="dxa"/>
        </w:tblCellMar>
      </w:tblPr>
      <w:tr>
        <w:trPr>
          <w:trHeight w:val="216"/>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34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ectPr>
          <w:pgSz w:w="11900" w:h="16838" w:orient="portrait"/>
          <w:cols w:equalWidth="0" w:num="1">
            <w:col w:w="11240"/>
          </w:cols>
          <w:pgMar w:left="320" w:top="229" w:right="339" w:bottom="866" w:gutter="0" w:footer="0" w:header="0"/>
        </w:sect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 note payable in the amount of $20,000. The note was due in January 2006 and the Company accrued interest on</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this note at 1.9% through September 30, 2025. During the three and nine months ended September 30, 2025, the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Company accrued interest in the amount of $96 and $288, respectively, on this note. During the three and nine months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ended September 30, 2024, the Company accrued interest in the amount of $96 and $288, respectively, on this note.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 accrued interest on this note was $18,860. At September 30, 2025, this note had been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without any claim or correspondence for an extended duration. After consideration of all available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the Company concluded that the obligation is no longer required to be recognized. Accordingly, the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liability was derecognized and a gain in the amount of $39,154 was recorded during the three months ended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note payable in the amount of $350,000 issued in connection with the GO Acquisition (the GO Note”). The GO</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is payable in 60 equal monthly instalments of $6,766 and bears interest at the rate of 6.0%. During the three and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2025, the Company made interest payments on the GO note in the amount of</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$4,637 and $14,606, respectively. During the three and nine months ended September 30, 2025, the Company made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the GO note in the amount of $15,200 and $46,292, respectively.</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298,692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298,692</w:t>
            </w: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9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65,046</w:t>
            </w:r>
          </w:p>
        </w:tc>
      </w:tr>
      <w:tr>
        <w:trPr>
          <w:trHeight w:val="24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maturities, net of discount</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233,646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298,692</w:t>
            </w: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694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6940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 total of $0 and $18,866 accrued interest on notes payable at September 30, 2025 and December 31,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notes payable as of September 30, 2025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ended December 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hanging="615"/>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 w:hanging="51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6" w:lineRule="exact"/>
        <w:rPr>
          <w:sz w:val="20"/>
          <w:szCs w:val="20"/>
          <w:color w:val="auto"/>
        </w:rPr>
      </w:pPr>
    </w:p>
    <w:p>
      <w:pPr>
        <w:ind w:left="520" w:hanging="515"/>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364,984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46" w:lineRule="exact"/>
        <w:rPr>
          <w:sz w:val="20"/>
          <w:szCs w:val="20"/>
          <w:color w:val="auto"/>
        </w:rPr>
      </w:pPr>
    </w:p>
    <w:p>
      <w:pPr>
        <w:ind w:left="620" w:hanging="615"/>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1"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364,984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7029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15,898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66,026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70,099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74,422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72,247</w:t>
      </w:r>
    </w:p>
    <w:p>
      <w:pPr>
        <w:spacing w:after="0" w:line="9"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298,692</w:t>
      </w:r>
    </w:p>
    <w:p>
      <w:pPr>
        <w:spacing w:after="0" w:line="1045" w:lineRule="exact"/>
        <w:rPr>
          <w:sz w:val="20"/>
          <w:szCs w:val="20"/>
          <w:color w:val="auto"/>
        </w:rPr>
      </w:pPr>
    </w:p>
    <w:p>
      <w:pPr>
        <w:sectPr>
          <w:pgSz w:w="11900" w:h="16838" w:orient="portrait"/>
          <w:cols w:equalWidth="0" w:num="2">
            <w:col w:w="9800" w:space="220"/>
            <w:col w:w="1220"/>
          </w:cols>
          <w:pgMar w:left="320" w:top="229" w:right="339" w:bottom="866" w:gutter="0" w:footer="0" w:header="0"/>
          <w:type w:val="continuous"/>
        </w:sectPr>
      </w:pPr>
    </w:p>
    <w:p>
      <w:pPr>
        <w:spacing w:after="0" w:line="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2025, total number of shares of common stock issued and outstanding was 57,279,246 and 54,434,949, respectively. As of December 31, 2024, total number of shares of common stock issued and outstanding was 56,009,032 and 53,164,735, respectively. At September 30, 2025 and December 31, 2024, a total of 2,844,297 shares of common stock were deemed issued but not outstanding. At September 30, 2025 and December 31, 2024, an additional 350,735 and 738,032 shares, respectively, were classified as common stock to be issued. These shares represent shares of common stock vested under the Company’s executive stock compensation plans, and are in the process of being administratively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2025, the Company issued the following shares of common stock to its executive officers pursuant to executive compensation plans: 530,665 shares were issued to its CEO; 133,632 shares were issued to its COO; and 73,735 shares were issued to its CFO. These shares were classified as shares to be issued on the Company’s balance sheet at December 31, 2024. There was no gain or loss recorded on this transaction.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 2025, the Company issued 273,026 shares of common stock to its CEO pursuant to an executive compensation plan. There was no gain or loss recorded on this transaction.</w:t>
      </w:r>
    </w:p>
    <w:p>
      <w:pPr>
        <w:sectPr>
          <w:pgSz w:w="11900" w:h="16838" w:orient="portrait"/>
          <w:cols w:equalWidth="0" w:num="1">
            <w:col w:w="11240"/>
          </w:cols>
          <w:pgMar w:left="320" w:top="229" w:right="339" w:bottom="866"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866"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the Company issued 92,168 shares of common stock to its CFO pursuant to an executive compensation plan. There was no gain or loss recorded on this transaction.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 2025, the Company issued 82,952 shares of common stock to its CFO pursuant to an executive compensation plan. There was no gain or loss recorded on this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30, 2024, the Company issued a net amount of 24,138 shares of common stock pursuant to the cashless exercise of 50,000 options at an exercise price of $0.60 per shares. There was no gain or loss on this transaction because the shares were issued at the fair value of $1.16 per share.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9, 2024, the Company issued a total of 1,415,544 shares of common stock pursuant to the Company’s executive stock option plans. These shares were recorded at the aggregate par value of $1,415; there was no gain or loss recorded on these transactions as the shares were issued pursuant to the terms of the compensation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Received from Sale of Subsidiary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(see Note 3). The Company Haley had no assets or liabilities at the time of the sale; the Company valued the 21,126 shares of common stock at the market price on the date of the acquisition of $1.00 per sale and recorded a gain in the amount of $21,126 on this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based executive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Stock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2023, the Company entered into an employment agreement with Bill Bennett to become the Company’s CEO. On November 3, 2023, the Company recognized that the hiring of Mr. Bennett was protracted, and the original employment agreement calculated the number of shares of common stock to be granted in connection with the CEO Stock Plan on the basis of the number of shares of common stock outstanding as of October 2022, which did not take into consideration the number of shares that were issued to a departing executive and to certain other employees of the Company thereafter. Accordingly, the number of shares issuable to Mr. Bennett at each price target was adjusted, effective as of the original date of the plan.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r>
      <w:tr>
        <w:trPr>
          <w:trHeight w:val="230"/>
        </w:trPr>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6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Stock Price 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r>
      <w:tr>
        <w:trPr>
          <w:trHeight w:val="210"/>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975,133</w:t>
            </w:r>
          </w:p>
        </w:tc>
        <w:tc>
          <w:tcPr>
            <w:tcW w:w="100" w:type="dxa"/>
            <w:vAlign w:val="bottom"/>
            <w:shd w:val="clear" w:color="auto" w:fill="CCEEFF"/>
          </w:tcPr>
          <w:p>
            <w:pPr>
              <w:spacing w:after="0"/>
              <w:rPr>
                <w:sz w:val="18"/>
                <w:szCs w:val="18"/>
                <w:color w:val="auto"/>
              </w:rPr>
            </w:pP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731,350</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487,567</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365,675</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365,675</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r>
      <w:tr>
        <w:trPr>
          <w:trHeight w:val="234"/>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CEO Stock Plan was determined via a Monte Carlo market-based performance stock awards model to be $660,541. This amount will be recorded as a charge to compensation expense and additional paid-in capital on a straight-line basis over 34 months.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2025, the Company entered into a separation agreement and general release with Mr. Bennett, pursuant to which Mr. Bennett resigned from his position as the Chief Executive Officer of the Company effective October 1, 2025. See Note 22. During the three months ended September 30, 2025, the Company charged the unamortized portion of the value of the CEO Stock Plan I the amount of $115,795 to compensation expense and additional paid-in capital. During the three and nine months ended September 30, 2025, the amount of $115,795 and $232,361, respectively, were charged to operations pursuant to the CEO Stock Plan. During the three months and nine months ended September 30, 2024, the amounts of $58,283 and $174,849, respectively, were charged to operations pursuant to the CEO Stock Plan.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2025, the price target of $1.80 per share under the CEO Stock Plan was achieved and 243,783 shares of common stock vested, and on March 3, 2025, the price target of $2.00 per share under the CEO Stock Plan was achieved and 243,783 shares of common stock vested. The total number of shares vested for achievement of the $1.80 and $2.00 price targets was 487,566. On June 2, 2025, 273,036 shares of common stock were issued in partial satisfaction of this obligation; an additional 214,530 shares are classified as common stock to be issued on the Company’s balance sheet at September 30, 2025.</w:t>
      </w:r>
    </w:p>
    <w:p>
      <w:pPr>
        <w:sectPr>
          <w:pgSz w:w="11900" w:h="16838" w:orient="portrait"/>
          <w:cols w:equalWidth="0" w:num="1">
            <w:col w:w="11240"/>
          </w:cols>
          <w:pgMar w:left="320" w:top="229"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price target of $1.20 per share under the CEO Stock Plan was achieved and 365,675 shares of common stock vested; on October 7, 2024, the price target of $1.40 per share under the CEO Stock Plan was achieved and 365,675 shares of common stock vested; on December 16, 2024, the price target of $1.60 per share under the CEO Stock Plan was achieved and 243,783 shares of common stock vested. The total number of shares vested at for achievement of the $1.20, $1.40, and $1.60 price targets was 975,133. On February 6, 2025, a total of 530,665 shares of common stock were issued in satisfaction of this obligation, net of 444,468 shares withheld for taxes.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28, 2024, 487,567 shares of common stock vested pursuant to the achievement of the $1.00 price target of the CEO Stock Plan. These shares were issued on July 9,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19, 2024, 731,350 shares of common stock vested pursuant to the achievement of the $0.80 price target of the CEO Stock Plan. These shares were issued on July 9,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7, 2023, the Company issued 678,302 shares of common stock, net of 296,831 shares withheld for income tax purposes, to its Chief Executive Officer pursuant the achievement of the $0.60 price target in the CEO Stock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shares unvested under the CEO Stock Plan at September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r>
      <w:tr>
        <w:trPr>
          <w:trHeight w:val="230"/>
        </w:trPr>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6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Stock Price 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r>
      <w:tr>
        <w:trPr>
          <w:trHeight w:val="210"/>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00" w:type="dxa"/>
            <w:vAlign w:val="bottom"/>
            <w:shd w:val="clear" w:color="auto" w:fill="CCEEFF"/>
          </w:tcPr>
          <w:p>
            <w:pPr>
              <w:spacing w:after="0"/>
              <w:rPr>
                <w:sz w:val="18"/>
                <w:szCs w:val="18"/>
                <w:color w:val="auto"/>
              </w:rPr>
            </w:pP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147,470</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98,313</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73,735</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73,735</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r>
        <w:trPr>
          <w:trHeight w:val="234"/>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COO Stock Plan was determined via a Monte Carlo market-based performance stock awards model to be $199,951. This amount will be recorded as a charge to compensation expense and additional paid-in capital on a straight-line basis over 31.5 months. During the three and nine months ended September 30, 2025, the amount of $19,043 and $57,129, respectively, was charged to operations pursuant to the COO Stock Plan. During the three and nine months ended September 30, 2024, the amounts of $19,043 and $57,129, respectively, were charged to operations pursuant to the COO Stock Plan.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2024, 196,627 shares of common stock vested pursuant to the achievement of the $0.87 price target of the COO Stock Plan. These shares were issued on July 9,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2024, the price target of $1.16 per share under the COO Stock Plan was achieved and 147,470 shares of common stock vested pursuant to this plan; on November 13, 2024, the price target of $1.45 per share under the COO Stock Plan was achieved, and 98,313 shares of common stock vested. On March 14, 2025, 133,632 shares of common stock were issued in satisfaction of these obligations, net of 112,151 shares withheld for taxes.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14, 2025, the price target of $1.74 per share under the COO Stock Plan was achieved and 73,735 shares of common stock vested; and on March 7, 2025, the price target of $2.03 per share under the COO Stock Plan was achieved, and 73,735 shares of common stock vested. The total number of shares vested for achievement of the $1.74 and $2.03 price targets was 147,470.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2025, a total of 147,470 shares of common stock remain unvested under the COO Stock Plan, and an additional 55,503 shares are classified as common stock to be issued on the Company’s balance sheet.</w:t>
      </w:r>
    </w:p>
    <w:p>
      <w:pPr>
        <w:sectPr>
          <w:pgSz w:w="11900" w:h="16838" w:orient="portrait"/>
          <w:cols w:equalWidth="0" w:num="1">
            <w:col w:w="11240"/>
          </w:cols>
          <w:pgMar w:left="320" w:top="229"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2023, the Company entered into an employment agreement with Gary Schubert to become the Company’s CFO effective January 1, 2024. Pursuant to this agreement, Mr. Schubert was provided with an incentive compensation plan (the “CFO Stock Plan”) whereby Mr. Schubert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6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Stock Price 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r>
      <w:tr>
        <w:trPr>
          <w:trHeight w:val="209"/>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100" w:type="dxa"/>
            <w:vAlign w:val="bottom"/>
            <w:shd w:val="clear" w:color="auto" w:fill="CCEEFF"/>
          </w:tcPr>
          <w:p>
            <w:pPr>
              <w:spacing w:after="0"/>
              <w:rPr>
                <w:sz w:val="18"/>
                <w:szCs w:val="18"/>
                <w:color w:val="auto"/>
              </w:rPr>
            </w:pP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98,313</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65,542</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r>
      <w:tr>
        <w:trPr>
          <w:trHeight w:val="234"/>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CFO Stock Plan was determined via a Monte Carlo market-based performance stock awards model to be $238,747 at inception (see “Stock Plan Valuation” section below). This amount will be recorded as a charge to compensation expense and additional paid-in capital on a straight-line basis over the 30-month life of the plan beginning January 1, 2024. During the three and nine months ended September 30, 2025, the amount of $23,875 and $71,625, respectively, was charged to operations pursuant to the CFO Stock Plan. During the three and nine months ended September 30, 2024, the amounts of $23,875 and $71,625, respectively, were charged to operations pursuant to the CFO Stock Plan.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2024, the price target of $1.23 per share under the CFO Stock Plan was achieved and 131,085 shares of common stock vested pursuant to this plan. On February 6, 2025, 73,735 shares of common stock were issued in satisfaction of this obligation, net of 57,350 shares withheld for taxes.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27, 2024, the price target of $1.63 per share under the CFO Stock Plan was achieved and 98,313 shares of common stock vested; and on March 10, 2025, the price target of $2.04 per share under the CFO Stock Plan was achieved and 65,542 shares of common stock vested. The total number of shares vested for achievement of the $1.63 and $2.04 price targets was 163,855; on June 3, 2025, 92,168 of these shares were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 2025, 82,952 shares, which were previously earned, were issued from common stock to be issued pursuant to the CFO stock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a total of 196,627 shares of common stock remain unvested under the CFO Stock Plan, and an additional 80,903 shares are classified as common stock to be issued on the Company’s balance sheet.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 2025, the Company entered into an executive employment agreement (the “Schubert Agreement”) with Gary Schubert, pursuant to which Mr. Schubert shall resign from his current position of Chief Financial Officer of the Company and shall be appointed as the Chief Executive Officer of the Company and a member of the Company’s Board of Directors (the “Board”), effective October 3, 2025. See Note 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COO. The Smallwood SARs vest upon issuance, and expire on December 31, 2026; 750,000 of the Smallwood SARs are priced at $1.50 per share, and 750,000 are priced at $2.00 per share. It is the Company’s intention to settle the Smallwood SARs in cash if the stock price exceeds the $1.50 and $2.00 per share price prior to the expiration date.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Smallwood SARs decreased in fair value in the amount $849,835 and $1,077,098, respectively; these amounts were charged to non-cash compensation. During the three and nine months ended September 30, 2024, the Smallwood SARs decreased in fair value and increased in fair value in the amount $55,587 and $476,161, respectively; these amounts were charged to non-cash compensation. At September 30, 2025 and December 31, 2024, the Smallwood SARs had a fair value of $276,052 and 1,353,150,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 Smallwood SARs were valued using the Black-Scholes valuation model utilizing the following variables: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3"/>
        </w:trPr>
        <w:tc>
          <w:tcPr>
            <w:tcW w:w="8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160" w:type="dxa"/>
            <w:vAlign w:val="bottom"/>
          </w:tcPr>
          <w:p>
            <w:pPr>
              <w:spacing w:after="0"/>
              <w:rPr>
                <w:sz w:val="20"/>
                <w:szCs w:val="20"/>
                <w:color w:val="auto"/>
              </w:rPr>
            </w:pPr>
          </w:p>
        </w:tc>
        <w:tc>
          <w:tcPr>
            <w:tcW w:w="14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10"/>
        </w:trPr>
        <w:tc>
          <w:tcPr>
            <w:tcW w:w="8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135.88 - 205.63%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6"/>
              </w:rPr>
              <w:t>86.58 - 131.55%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- 3.96%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- 4.71%</w:t>
            </w: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Remaining expected term (years)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- 1.75</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- 2.75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September 30, 2025 (unaudited)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September 30, 2025 (unaudited)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charged the amount of $0 and $2,034, respectively, to operations for the vesting of stock options. During the nine months ended September 30, 2025 and 2024, the Company charged the amount of $0 and $4,068, respectively, to operations for the vesting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has determined that the Company operates in one reportable segment: the delivery of specialty foods. This determination was made based upon the characteristics of our business and the information used by the CODM in order monitor the business and allocate resources. The single segment utilizes multiple sales channels.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Company’s CODM was a group consisting of our executive management team: Gary Schubert, CEO and Brady Smallwood, COO.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uses net income to monitor budget versus actual results. The CODM also uses revenue by category to monitor the growth of the business in each of our target markets.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segment results by sales channel: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40" w:type="dxa"/>
            <w:vAlign w:val="bottom"/>
          </w:tcPr>
          <w:p>
            <w:pPr>
              <w:spacing w:after="0"/>
              <w:rPr>
                <w:sz w:val="20"/>
                <w:szCs w:val="20"/>
                <w:color w:val="auto"/>
              </w:rPr>
            </w:pPr>
          </w:p>
        </w:tc>
        <w:tc>
          <w:tcPr>
            <w:tcW w:w="234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66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9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26,267,866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27,762,919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(1,495,053)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10,313,713</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9,543,552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770,161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12,665,887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8,184,961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4,480,926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49,247,466</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45,491,432</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3,756,034</w:t>
            </w:r>
          </w:p>
        </w:tc>
        <w:tc>
          <w:tcPr>
            <w:tcW w:w="22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37,192,111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34,485,730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2,706,381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12,055,355</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11,005,702</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1,049,653</w:t>
            </w:r>
          </w:p>
        </w:tc>
        <w:tc>
          <w:tcPr>
            <w:tcW w:w="2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OpEx:</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&amp; 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7,447,576</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6,026,397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1,421,179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290,910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304,192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(13,282)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facility, vehicles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1,125,109</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346,024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779,855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396,521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444,308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(47,788)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122,821</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164,149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26,825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3,483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23,342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Banking and credit card processing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29,181</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8,401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20,780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1,181,449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1,089,011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92,438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10,620,392</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8,385,965</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2,234,427</w:t>
            </w:r>
          </w:p>
        </w:tc>
        <w:tc>
          <w:tcPr>
            <w:tcW w:w="22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OpEx:</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43,010</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40,667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(715,983)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789,935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(1,505,918)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212,215</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76,765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135,450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&amp;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145,334</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111,184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(315,424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1,018,551</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(1,333,975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22,925</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(36,592)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59,517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subsidiaries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(21,126)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21,126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(1,807,516)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1,807,516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(2,512)</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(1,865,234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1,885,647</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1,729,974</w:t>
            </w:r>
          </w:p>
        </w:tc>
        <w:tc>
          <w:tcPr>
            <w:tcW w:w="240" w:type="dxa"/>
            <w:vAlign w:val="bottom"/>
          </w:tcPr>
          <w:p>
            <w:pPr>
              <w:spacing w:after="0"/>
              <w:rPr>
                <w:sz w:val="24"/>
                <w:szCs w:val="24"/>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3,466,420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(1,658,295)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97"/>
        </w:trPr>
        <w:tc>
          <w:tcPr>
            <w:tcW w:w="3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22,192,948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21,207,183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229,278</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309,262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6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4"/>
                <w:szCs w:val="24"/>
                <w:color w:val="auto"/>
              </w:rPr>
            </w:pPr>
          </w:p>
        </w:tc>
        <w:tc>
          <w:tcPr>
            <w:tcW w:w="166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900" w:type="dxa"/>
            <w:vAlign w:val="bottom"/>
            <w:gridSpan w:val="3"/>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8,921,558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9,340,603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(419,045)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3,502,600</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3,518,117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3,999,558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3,007,863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991,695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16,423,716</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15,866,583</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7"/>
              </w:rPr>
              <w:t>100.0%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557,133</w:t>
            </w:r>
          </w:p>
        </w:tc>
        <w:tc>
          <w:tcPr>
            <w:tcW w:w="22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12,567,437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12,195,250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372,187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9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3,856,279</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3,671,333</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184,946</w:t>
            </w:r>
          </w:p>
        </w:tc>
        <w:tc>
          <w:tcPr>
            <w:tcW w:w="2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OpEx:</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Payroll &amp; 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2,631,243</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1,973,725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657,518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86,533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83,343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facility, vehicles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474,748</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115,130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359,618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129,281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161,722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(32,441)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73,226</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69,458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20,706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22027.7%</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Banking and credit card processing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5,446</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29"/>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359,200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3,776,224</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2,764,235</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1,011,989</w:t>
            </w:r>
          </w:p>
        </w:tc>
        <w:tc>
          <w:tcPr>
            <w:tcW w:w="22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OpEx:</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33,521</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28,709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(691,122)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49,682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(740,804)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72,555</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22,636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49,919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&amp;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1,740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(19,464)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21,204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15,274</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(11,579)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(2,512)</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650,599</w:t>
            </w:r>
          </w:p>
        </w:tc>
        <w:tc>
          <w:tcPr>
            <w:tcW w:w="240" w:type="dxa"/>
            <w:vAlign w:val="bottom"/>
          </w:tcPr>
          <w:p>
            <w:pPr>
              <w:spacing w:after="0"/>
              <w:rPr>
                <w:sz w:val="24"/>
                <w:szCs w:val="24"/>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861,011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(132,262)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22,192,948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21,207,183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20,392</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293,405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1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to Prior Executive Officers under Separation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paid cash in the amount of $55,556 and $222,222, respectively, to Mr. Klepfish, its prior CEO, in connection with the SK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nine months ended September 30, 2024, the Company paid cash in the amount of $83,333 and $250,000, respectively, to Mr. Klepfish.</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made the following payments in connection with the Wiernasz Separation Agreement: The Company made COBRA payments on behalf of Mr. Weirnasz in the amount of $0 and $967,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made the following payments in connection with the Tang Separation Agreement: The Company paid cash to Mr. Tang in the amount of $5,178 and $113,918, respectively, and COBRA payments on behalf of Mr. Tang in the amount of $2,956 and $14,495,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MAJOR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and 2024, U.S. Foods, Inc. and its affiliates accounted for approximately 36% and 41% of total consolidated sales, respectively. Gate Gourmet accounted for approximately 15% and 20% of total consolidated sales,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Discontinued operations: Sams Club accounted for approximately 18% and 0% of total consolidated sales in 2025 and 2024, respectively. Sales to Sams Club related entirely to the discontinued Pennsylvania distribution operations and are not expected to continue in future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U.S. Foods, Inc. and its affiliates accounted for approximately 34% and 47% of total consolidated sales, respectively. Gate Gourmet accounted for approximately 15% and 18% of total consolidated sales,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Discontinued Operations: Sams Club accounted for approximately 18% and 0% of total consolidated sales in 2025 and 2024, respectively. Sales to Sams Club related entirely to the discontinued Pennsylvania distribution operations and are not expected to continue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CEO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 2025, Innovative Food Holdings, Inc., entered into an executive employment agreement (the “Schubert Agreement”) with Gary Schubert, pursuant to which Mr. Schubert resigned from his current position of Chief Financial Officer of the Company and was appointed as the Chief Executive Officer of the Company and a member of the Board, effective October 3,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Schubert Agreement, Mr. Schubert is entitled to (i) an annual base salary of $400,000, beginning on January 1, 2026, subject to a 3% annual increase, (ii) a stock grant of 1,350,000 shares of common stock of the Company, subject to a vesting schedule, by March 31, 2026, and (iii) an annual cash incentive with a target (attainable upon achievement of certain performance goals) of not less than $137,500 with a cap of the lower of (a) $400,000 and (b) 8% of the Company’s adjusted free cash flow over the previous calendar year, beginning in calendar year 2026.</w:t>
      </w:r>
    </w:p>
    <w:p>
      <w:pPr>
        <w:sectPr>
          <w:pgSz w:w="11900" w:h="16838" w:orient="portrait"/>
          <w:cols w:equalWidth="0" w:num="1">
            <w:col w:w="11240"/>
          </w:cols>
          <w:pgMar w:left="320" w:top="229"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Schubert’s employment with the Company shall terminate upon the first of the following: (i) December 31, 2028, provided that the Schubert Agreement will be automatically renewed for successive one-year terms unless the Board gives Mr. Schubert with a 90-day advance written notice of non-renewal; (ii) death; (iii) the termination due to disability upon not less than 30-day prior written notice by the Company to Mr. Schubert; (iv) the written notice by the Company to Mr. Schubert of a termination for cause; (v) the written notice by the Company to Mr. Schubert of an involuntary termination without cause; (vi) the written notice by Mr. Schubert to the Company of a resignation for good reason; and (vii) the not less than 30-day prior written notice by Mr. Schubert to the Company of a resignation without good reason.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the Company and Mr. Schubert pursuant to which Schubert was appointed and there is no family relationship between or among any director or executive officer of the Company or Mr. Schubert. There are no transactions, to which the Company is or was a participant and in which Mr. Schubert has a material interest subject to disclosure under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CEO Separation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4, 2025, the Company entered into a separation agreement and general release (the “Bennett Separation Agreement”) with Bill Bennett, pursuant to which Mr. Benett will resign from his position as the Chief Executive Officer of the Company, effective October 3,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Separation Agreement, the Company shall (i) pay Mr. Benett a severance payment in installments for a total gross amount of $115,500.97 for the period of October 4, 2025, through and including December 31, 2025, and (ii) reimburse Mr. Bennett for his group health insurance premiums for the period from November 1, 2025 through September 30, 2026, subject to the terms and conditions of the Separation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Bennett has agreed to provide consultancy services to the Company as a consultant and independent contractor from January 1, 2025 until March 31, 2025 for $25,000, which is to be paid in installments.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Bennett also resigned as a member of the Board, effective October 3, 2025. Mr. Bennett’s resignation is not the result of any disagreement with the Company, the Board, or management, or any matter relating to the Company’s operations, policies or practices.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Schubert Agreement and Separation Agreement do not purport to be complete and are qualified in their entirety by reference to the full text of the Schubert Agreement and Separation Agreement, which are filed as Exhibits 10.1 and 10.2 to this Current Report on Form 8-K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of Facility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through its subsidiary Innovative Food Properties LLC, entered into an Agreement of Purchase and Sale, dated as of July 28, 2025 and amended on September 11, 2025, September 29, 2025 and November 13, 2025 (the “Sale Agreement”), with Mountaintop Holdings LLC (“Mountaintop Holdings”), pursuant to which the Company agreed to sell to Mountaintop Holdings the real property located at 220 Oak Hill Road in Mountaintop, Pennsylvania, together with certain associated property. The total purchase price specified in the agreement is $9,225,000, which includes deposits already paid and held in escrow. The purchaser inspection and due diligence period has been completed and passed. No gain or loss has been recorded as of the date of these financial statements. The sale of the properties under the Sale Agreement is expected to occur on January 12, 2026. If the closing has not occurred by January 12, 2026, Mountaintop Holdings may request a t30-day extension to such closing date by depositing $250,000 with the title company and an additional 30-day extension by depositing $100,000 with the title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report to “we,” “us,” “IVFH” or the “Company” refer to Innovative Food Holdings, Inc. and all of its wholly-owned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(the “Private Securities Litigation Reform Act”), and is subject to the safe harbor created by that act. The safe harbor created by the Private Securities Litigation Reform Act will not apply to certain “forward-looking statements” because we issued “penny stock” (as defined in Section 3(a)(51) of the Securities Exchange Act of 1934, as amended (the “Exchange Act”), and Rule 3(a)(51-1) under the Exchange Act) during the three year period preceding the date(s) on which those forward-looking statements were first made, except to the extent otherwise specifically provided by rule, regulation or order of the Securities and Exchange Commission (the “SEC”).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 including sale and acquisition of certain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future revenue and operations resulting from changes to our business plan, including our decision to exit certain business lines such as cheese and logistics.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three major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or other trade restrictions that may increase costs or disrupt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ectPr>
          <w:pgSz w:w="11900" w:h="16838" w:orient="portrait"/>
          <w:cols w:equalWidth="0" w:num="1">
            <w:col w:w="11240"/>
          </w:cols>
          <w:pgMar w:left="320" w:top="229"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in the Preparation of Financial Statements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inventory, valuation of stock-based services, operating right of use assets and liabilities, impairment of intangible assets,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Credit Losses Receivable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an allowance for credit losses equal to the estimated uncollectible amounts pursuant to the guidance of Accounting Standards Update (“ASU”) 2016-13, Financial Instruments – Credit Losses (Topic 326) as codified in ASC 326, Financial Instruments – Credit Losses. The Company utilizes a current and expected credit loss (CECL) impairment model. The Company’s estimate is based on historical collection experience and a review of the current status of trade accounts receivable. It is reasonably possible that the Company’s estimate of the allowance for credit losses will change. Accounts receivable are presented net of an allowance for credit losses of $40,002 at September 30, 2025 and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food products and is valued at the lower of cost or net realizable value. Cost is determined using the average-cost method. The Company adjusts the inventory based upon bi-weekly cycle counts and upon the expiration date of food products. In addition, the Company records a provision for excess, obsolete, and slow-moving inventory. Adjustments to reduce inventory to net realizable value are recorded when necessary and included in cost of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Intangible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tested for impairment at least annually, or more frequently if events or changes in circumstances indicate that the assets might be impaired. Intangible assets with finite useful lives are amortized on a straight-line basis over their estimated useful lives and reviewed for impairment whenever events or changes in circumstances indicate that the carrying amount may not be recoverable.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build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IVFH team is adept at evaluating and certifying the food safety and supply chain capabilities of small batch producers who don’t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this unique, premium assortment to serve the needs of Professional Chefs in settings such as restaurants, hotels, country clubs, national chain accounts, casinos, hospitals and catering houses. We provide these premium customers with products that can’t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Lastly, we sell these food to large retailers for resale on their shelves to the end customer. Between this variety of sales channels, we are able to serve our Professional Chef customers wherever they are located.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our airline catering distribution business out of our owned 28,000 square foot facility in the greater Chicago area. In addition, following the closing of our acquisition of Golden Organics, we now operate a warehouse in Denver, Colorado, measuring approximately 20,000 square feet. We also operated a 200,000 square foot facility in Mountain Top, Pennsylvania, which previously supported both our retail and airline catering operations. Subsequent to the date of these financial statements, we entered into a sale agreement for this Pennsylvania property. In connection with this transition, our airline catering operations have been relocated to the Chicago facility, and our retail business is being wound down.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facilities have the capabilities to pack and ship frozen, refrigerated, and ambient products, enabling us to offer a broad range of specialty foods. We maintain GFSI/SQF certifications, ensuring compatibility with the highest global standards for food handling and meeting the quality and food safety expectations of our premium customers. These warehouses are equipped to ship packages and pallets of all sizes via overnight carriers. We also utilize our own fleet of trucks to deliver directly to Professional Chef customers within our delivery footprint.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customer service and sales teams, as ex-chefs themselves, go beyond customer service to offer our Professional Chefs customer support, menu ideas, and preparation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discussion may contain forward-looking statements that involve risks and uncertainties. Our future results could differ materially from the forward-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statements discussed in this report. This discussion should be read in conjunction with our consolidated financial statements, the notes thereto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information included elsewhere in the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Highlights for the fiscal quarter ended September 30, 2025: IVFH reported revenue of $16.4 million, a 3.5% increase compared to $15.9 million in 2024.</w:t>
      </w:r>
    </w:p>
    <w:p>
      <w:pPr>
        <w:sectPr>
          <w:pgSz w:w="11900" w:h="16838" w:orient="portrait"/>
          <w:cols w:equalWidth="0" w:num="1">
            <w:col w:w="11240"/>
          </w:cols>
          <w:pgMar w:left="320" w:top="229"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Breakdown:</w:t>
      </w:r>
    </w:p>
    <w:p>
      <w:pPr>
        <w:spacing w:after="0" w:line="225" w:lineRule="exact"/>
        <w:rPr>
          <w:sz w:val="20"/>
          <w:szCs w:val="20"/>
          <w:color w:val="auto"/>
        </w:rPr>
      </w:pPr>
    </w:p>
    <w:p>
      <w:pPr>
        <w:jc w:val="both"/>
        <w:ind w:left="660" w:right="2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Channels: Largely comprised of our distributor relationships and supported by our drop-ship model generated $8.9. million, or 54.1% of total revenue, in the current period, compared to $9.3 million in the prior year period, a decrease of approximately 4.5%. This decrease was primarily driven by continued headwinds in our legacy U.S. Food Platform drop-ship business, where increased competition in online marketplace channels has resulted in lower order volumes and pricing pressure.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Distribution: Revenue was $3.5 million, or 21.3% of total revenue, compared to $3.5 million in the prior year period. We expect this channel to continue to expand as we further develop over time broker relationships and deepen participation in airline menu programs. While overall airline related revenue grew approximately 3%, a portion of these sales shifted to channels outside of National Distribution during the period, given the reolocation of PA operations, reducing the amount recorded here.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Distribution: Consists mainly of local sales team relationships and our local fleet delivering direct from warehouse. This category generated $4 million, or 21.6% of total revenue, which is a 33% increase from $3 million in 2024. The figure includes $1.6 million, up from $0 in Q3 2024, due to acquisitions of LoCo Foods and Golden Organics.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for the three months ended September 30, 2025 increased 3.1% to $12.6 million compared to $12.2 million in the prior year period, which is generally consistent with the 3.5% increase in revenue. Gross margin decreased by 34 basis points to 23.5%, primarily due to changes in the overall sales mix. The improvement in gross margin from continuing operations is largely attributable to the discontinuation of our retail cheese business, which carried lower margins.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Operating Expenses (Cash OpEx):</w:t>
      </w:r>
    </w:p>
    <w:p>
      <w:pPr>
        <w:spacing w:after="0" w:line="158"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costs increased by $657 thousand to $2.65 million. This increase was primarily driven by higher headcount to support the local distribution business, including approximately $278 thousand related to the Denver acquisition completed in the fourth quarter of 2024. The period also included approximately $174 thousand in severance costs associated with the transition of the former CEO and approximately $78 thousand from wage and benefit inflation.</w:t>
      </w:r>
    </w:p>
    <w:p>
      <w:pPr>
        <w:spacing w:after="0" w:line="11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and IT costs remained near flat with a slight increase of $4 thousand to $87 thousand, reflecting stabilization of core IT spend; on a year-to-date basis, these costs are down approximately 4.4%.</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facilities, and vehicle expenses increased by $359 thousand. The increase is attributed to costs associated with a new office location tied to our Q4 acquisitions ($158 thousand), and an increase to truck fleet expenses to support our expanding local distribution business in Chicago ($72 thousand).</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Digital Marketing Costs: Increased by $20 thousand in Q3 2025 to $20 thousand as a result of spend related to our Amazon and Harvest platforms. We expect annual amounts to continue to remain lower, resulting from a full year’s cycle of the restructuring of marketing programs.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legal fees decreased by $4 thousand to $354 thousand. The current period includes approximately $125 thousand of legal fees associated with the Company’s ongoing Nasdaq uplisting process. We are continuing to undertake a vendor review process aimed at identifying further cost reduction opportunities going forward..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Cash OpEx increased by $1.1 million, or 40 %. The increase was primarily driven by the Denver facility, which was not part of our operations in the prior-year period and accounted for approximately $500 thousand of the increase. The quarter also included approximately $72 thousand in higher fleet-related expenses, $174 thousand in severance, and approximately $78 thousand from wage and benefit inflation.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Operating Expenses (Non-Cash OpEx):</w:t>
      </w:r>
    </w:p>
    <w:p>
      <w:pPr>
        <w:spacing w:after="0" w:line="158"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Decreased by $740 thousand a credit of ($691) thousand, due to revaluation of stock options and other equity-based incentives to attract and retain key personnel.</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increased by $49 thousand to $72 thousand, reflecting an increase in PPE associated with Q4 acquisitions similar net book value of property, plant, and equipment compared to the prior year period.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Expense: Increased by $28 thousand to $33 thousand, primarily due to changes in customer mix within our local delivery segment.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Retail Cheese Operations revenue was $3.4 million in the current period compared to $0.2 million in the prior year period. This activity reflects the sell through of remaining product associated with the wind down of our discontinued retail cheese operations. We expect only minimal sales in the fourth quarter as the remaining cheese inventory is sold, after which revenue from this business is not expected on a go forward basis.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discontinued operations reported a net loss of $2.4 million in the current quarter. We continue to progress toward the sale of the Pennsylvania facility, which we anticipate will close in the fourth quarter. Upon completion of the sale, we expect a significant reduction in overhead costs associated with these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Breakdown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Channels: Largely comprised of our distributor relationships and supported by our drop ship model, generated $26.3 million, or 53.3% of total revenue, compared to $27.8 million in the prior year period, a decrease of approximately 5.4%. The decrease was primarily driven by continued headwinds in our legacy U.S. Food Platform drop ship business, where increased competition within online marketplace channels has resulted in lower order volumes and pricing pressure.</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Distribution revenue was $10.3 million, or 17.4 % of total revenue, compared to $9.5 million in the prior year period, an increase of approximately 8.1%. The increase was driven by higher volume within our airline catering relationships, including expanded demand from a key existing customer and additional sales through broker partnerships. We expect this category to continue to grow as broker channels mature, though order volumes may vary by period based on procurement and menu planning cycles.</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Distribution: Consists mainly of local sales team relationships and our local fleet delivering direct from warehouse. This category brought in $12.7 million, or 25.7% of total revenue, an increase of 54.8% from $8.2 million in 2024, supported by $5.3 million from the recent acquisitions of LoCo Foods and Golden Organics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for the nine months ended September 30, 2025 was 37.2 million, an increase of 7.85% compared to 34.5 million in the prior year period. This is generally in line with the increase in sales of 8.26%. As a result, gross margin increased 29 basis points to 24.5%. The gross margin performance was driven by sales mix, including a 99 basis point increase in digital and a 57 basis point increase in airlines, partially offset by a 524 basis point decline in local. Local distribution in the current period includes both the Denver and Chicago facilities, whereas the prior year period included only Chicago. The Denver facility carries a different product mix than Chicago, which contributed to the change in local distribution margin.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Operating Expenses (Cash OpEx):</w:t>
      </w:r>
    </w:p>
    <w:p>
      <w:pPr>
        <w:spacing w:after="0" w:line="158"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costs increased by $1.41 million to $7.42 million. This increase was primarily driven by higher headcount associated with employees added through acquisitions completed in Q4 2024, which accounted for approximately $946 thousand of the increase, as well as approximately $174 thousand in CEO severance and $180 thousand related to wage and benefit inflation.</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and IT Costs: Reduced by $13 thousand to $290 thousand, reflecting the Company’s efforts to streamline IT operations and reduce software and hardware expenses.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facilities, and vehicle expenses increased by $779 thousand. The increase is primarily due to new office locations costing $452 thousand as a result of the acquisition of Golden Organics and LoCo Foods. As part of this acquisition, LoCo Foods relocated from Fort Collins to Denver, consolidating offices. H1 results include $50 thousand in rent and utilities for the closed Fort Collins facility, which will not continue in subsequent quarters. Additionally, increased fleet costs at our Chicago hub accounted for $160 thousand.</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Digital Marketing Costs: Increased by $23 thousand to $27 thousand, reflecting spend towards our Amazon and Harvest platforms. although We expect annual amounts to continue to remain lower, resulting from a full year’s cycle of the restructuring of marketing programs.</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legal fees increased by $92 thousand to $1.2 million, 222 thousand of which was attributable to transactional activities related to acquisitions, and other corporate actions which are not expected to recur.</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Cash Operating Expenses increased by $2.4 million. The increase was primarily driven by the new Denver facility, which was not included in the prior year financials and accounted for approximately $1.6 million of the increase. The quarter also included approximately $160 thousand in higher fleet costs, $174 thousand in CEO severance, and approximately $180 thousand from wage and benefit inflation.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Operating Expenses (Non-Cash OpEx):</w:t>
      </w:r>
    </w:p>
    <w:p>
      <w:pPr>
        <w:spacing w:after="0" w:line="158" w:lineRule="exact"/>
        <w:rPr>
          <w:sz w:val="20"/>
          <w:szCs w:val="20"/>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Decreased by $1.5 million to ($715) thousand, primarily due to lower amortization expense associated with stock appreciation rights (SARs), reflecting a decline in the company’s stock price during the period.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increased by $135 thousand to $212 thousand, reflecting an increase in PPE associated with Q4 acquisitions similar net book value of property, plant, and equipment compared to the prior year period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Expense: decreased by $2 thousand to $43 thousand, primarily due to changes in customer mix within our local delivery segment.</w:t>
      </w:r>
    </w:p>
    <w:p>
      <w:pPr>
        <w:sectPr>
          <w:pgSz w:w="11900" w:h="16838" w:orient="portrait"/>
          <w:cols w:equalWidth="0" w:num="1">
            <w:col w:w="11240"/>
          </w:cols>
          <w:pgMar w:left="320" w:top="22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Retail Cheese Operations revenue was $10.7 million for the nine months ended September 30, 2025, compared to $0.2 million in the prior year period. Q3 revenue reflects the sell through of remaining product associated with the wind down of this business. The discontinued operations reported a net loss of $3.8 million for the nine month period. Sales are expected to substantially conclude in the fourth quarter as the remaining cheese inventory is sold, after which revenue from these operations is not expected on a go forward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reported a net income from continuing operations of $651 thousand, compared to a net income of $861 thousand in 2024, representing a decrease of $210 thousand. During the nine months ended September 30, 2025, the company reported a net income from continuing operations of $1.7 million, compared to net income of $3.5 million in 2024, representing a decrease of $1.7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at September 30,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IVFH had current assets of $18.6 million and current liabilities of $13.6 million, including an $8.8 million note classified as current due to its expected repayment upon the sale of the related business. Although the note is not contractually due within one year, it is presented within current liabilities based on the expected timing of the sale transaction. Net working capital was $5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have sufficient liquidity to fund operations for at least the next twelve months. With the shutdown of the Pennsylvania facility, operating cash flows are expected to improve as facility costs and lower margin product sales roll off. Upon the sale of the facility, we intend to use the proceeds to repay the associated note, which will reduce overhead and interest expense. We do not anticipate the need to raise additional capital. We are working on a new credit facility to provide working capital flexibility. Remaining severance obligations are not expected to be material, and staffing levels are being managed to align with current business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Analysis:</w:t>
      </w:r>
    </w:p>
    <w:p>
      <w:pPr>
        <w:spacing w:after="0" w:line="225"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 Used $687 thousand, primarily due to operations, offset by favorable changes in working capital components of $332 thousand. The significant changes in working capital included: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by $2.8 million, primarily reflecting the collection of receivables related to discontinuing cheese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decreased by $367 thousand, because of lowered cheese inventory balances associated with the wind down of the facility.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accrued liabilities decreased by $2.7 million, primarily due to paydowns of inventory purchases related to the elevated Q4 2024 cheese sales, which were settled in Q1 2025. In addition, the decrease reflects the payment of aged vendor payables associated with the acquired LoCo Foods business as well as signing down of vendor accounts associated with the cheese segment.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activities: Net cash used in investing activities was $174 thousand, primarily related to purchases of property and equipment. These investments included equipment for cheese cutting operations and warehouse improvements to support the consolidation of Loco Foods and Golden Organics, acquired in Q4 2024. As of the end of the quarter we sold approximately 54k worth of cheese cutting equipment.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 Used $40 thousand, primarily from the principal payments on debt and reimbursements from restricted cash on the purchase of Capex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Major Customers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Transactions with a major customer and related economic dependence information is set forth below and following our discussion of Liquidity and Capital Resources.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U.S. Foods, Inc. and its affiliates accounted for approximately 34% and 47% of total consolidated sales, respectively. Gate Gourmet accounted for approximately 15% and 18% of total consolidated sales,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Sams Club accounted for approximately 18% and 0% of total consolidated sales in 2025 and 2024, respectively. Sales to Sams Club related entirely to the discontinued Pennsylvania distribution operations and are not expected to continue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pgSz w:w="11900" w:h="16838" w:orient="portrait"/>
          <w:cols w:equalWidth="0" w:num="1">
            <w:col w:w="11240"/>
          </w:cols>
          <w:pgMar w:left="320" w:top="229"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continue to be a key focus for the Company this year. However, no assurance can be given that we will be successful and inflationary pressure on our profits will likely continue through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business and success is subject to numerous risk factors as detailed in its Annual Report on Form 10-K for the year ended December 31, 2024 and other of its Current Reports on Form 8-K, all of which reports are available at no cost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by us in the reports that we file or submit pursuant to the requirements of the Exchange Act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as defined in Rule 13a-15(f) and 15d-(f) under the Exchange Act) as of the end of the period covered by this report, have determined that our disclosure controls and procedures were effective at September 30, 2025 at the reasonable assurance level. In making this assessment, our management used the criteria set forth by the Committee of Sponsoring Organizations of the Treadway Commission in Internal Control-Integrated Framework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Exchange Act Rules 13a-15(d) and 15d-15 that occurred during the period covered by this report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quarterly period ended September 30, 2025, none of our directors or officers (as defined in Rule 16a-1(f) promulgated under the Exchange Act) adopted or terminated any “Rule 10b5-1 trading arrangement” or any “non-Rule 10b5-1 trading arrangement,” as each term is defined in Item 408 of Regulation 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Articles of Incorporation (incorporated by reference to Exhibit 3.1 of the Company’s Annual Report on Form 10-KSB for the year ended</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December 31, 2004 filed with the Securities and Exchange Commission on September 28, 2005).</w:t>
              </w:r>
            </w:hyperlink>
          </w:p>
        </w:tc>
      </w:tr>
      <w:tr>
        <w:trPr>
          <w:trHeight w:val="20"/>
        </w:trPr>
        <w:tc>
          <w:tcPr>
            <w:tcW w:w="1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Amended Bylaws of the Company (incorporated by reference to Exhibit 3.2 of the Company’s Annual Report on Form 10-K for the year</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ended December 31, 2010 filed with the SEC on March 16, 2011).</w:t>
              </w:r>
            </w:hyperlink>
          </w:p>
        </w:tc>
      </w:tr>
      <w:tr>
        <w:trPr>
          <w:trHeight w:val="20"/>
        </w:trPr>
        <w:tc>
          <w:tcPr>
            <w:tcW w:w="1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Bylaws of the Company (incorporated by reference to Exhibit 3.1 of the Company’s Current Report on Form 8-K filed with the</w:t>
              </w:r>
            </w:hyperlink>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SEC on March 13, 2023).</w:t>
              </w:r>
            </w:hyperlink>
          </w:p>
        </w:tc>
        <w:tc>
          <w:tcPr>
            <w:tcW w:w="8240" w:type="dxa"/>
            <w:vAlign w:val="bottom"/>
            <w:gridSpan w:val="7"/>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11"/>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Agreement of Purchase and Sale, dated July 28, 2025, by and between Innovative Food Properties LLC and Mountaintop Holdings, LLC</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(incorporated by reference to Exhibit 10.1 of the Company’s Current Report on Form 8-K filed with the SEC on August 1, 2025).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First Amendment to Agreement of Purchase and Sale, dated September 11, 2025, by and between Innovative Food Properties LLC and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Mountaintop Holdings, LLC (incorporated by reference to Exhibit 10.1 of the Company’s Current Report on Form 8-K filed with the SEC</w:t>
              </w:r>
            </w:hyperlink>
          </w:p>
        </w:tc>
      </w:tr>
      <w:tr>
        <w:trPr>
          <w:trHeight w:val="196"/>
        </w:trPr>
        <w:tc>
          <w:tcPr>
            <w:tcW w:w="114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on September 16, 2025).</w:t>
              </w:r>
            </w:hyperlink>
          </w:p>
        </w:tc>
        <w:tc>
          <w:tcPr>
            <w:tcW w:w="8320" w:type="dxa"/>
            <w:vAlign w:val="bottom"/>
            <w:gridSpan w:val="8"/>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11"/>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Second Amendment to Agreement of Purchase and Sale, dated September 29, 2025, by and between Innovative Food Properties LLC and</w:t>
              </w:r>
            </w:hyperlink>
          </w:p>
        </w:tc>
      </w:tr>
      <w:tr>
        <w:trPr>
          <w:trHeight w:val="20"/>
        </w:trPr>
        <w:tc>
          <w:tcPr>
            <w:tcW w:w="1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49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Mountaintop Holdings, LLC (incorporated by reference to Exhibit 10.1 of the Company’s Current Report on Form 8-K filed with the SEC</w:t>
              </w:r>
            </w:hyperlink>
          </w:p>
        </w:tc>
      </w:tr>
      <w:tr>
        <w:trPr>
          <w:trHeight w:val="196"/>
        </w:trPr>
        <w:tc>
          <w:tcPr>
            <w:tcW w:w="114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on October 3, 2025).</w:t>
              </w:r>
            </w:hyperlink>
          </w:p>
        </w:tc>
        <w:tc>
          <w:tcPr>
            <w:tcW w:w="8600" w:type="dxa"/>
            <w:vAlign w:val="bottom"/>
            <w:gridSpan w:val="10"/>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Third Amendment to Agreement of Purchase and Sale, dated November 13, 2025, by and between Innovative Food Properties LLC and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Mountaintop Holdings, LLC (incorporated by reference to Exhibit 10.1 of the Company’s Current Report on Form 8-K filed with the SEC</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on November 14, 2025)</w:t>
              </w:r>
            </w:hyperlink>
          </w:p>
        </w:tc>
      </w:tr>
      <w:tr>
        <w:trPr>
          <w:trHeight w:val="20"/>
        </w:trPr>
        <w:tc>
          <w:tcPr>
            <w:tcW w:w="11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and Rule 15d-14(a) under the Securities Exchange Act of 1934,</w:t>
            </w:r>
          </w:p>
        </w:tc>
      </w:tr>
      <w:tr>
        <w:trPr>
          <w:trHeight w:val="196"/>
        </w:trPr>
        <w:tc>
          <w:tcPr>
            <w:tcW w:w="1140" w:type="dxa"/>
            <w:vAlign w:val="bottom"/>
          </w:tcPr>
          <w:p>
            <w:pPr>
              <w:spacing w:after="0"/>
              <w:rPr>
                <w:sz w:val="17"/>
                <w:szCs w:val="17"/>
                <w:color w:val="auto"/>
              </w:rPr>
            </w:pPr>
          </w:p>
        </w:tc>
        <w:tc>
          <w:tcPr>
            <w:tcW w:w="5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980" w:type="dxa"/>
            <w:vAlign w:val="bottom"/>
            <w:gridSpan w:val="4"/>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and Rule 15d-14(a) under the Securities Exchange Act of 1934,</w:t>
            </w:r>
          </w:p>
        </w:tc>
      </w:tr>
      <w:tr>
        <w:trPr>
          <w:trHeight w:val="196"/>
        </w:trPr>
        <w:tc>
          <w:tcPr>
            <w:tcW w:w="1140" w:type="dxa"/>
            <w:vAlign w:val="bottom"/>
          </w:tcPr>
          <w:p>
            <w:pPr>
              <w:spacing w:after="0"/>
              <w:rPr>
                <w:sz w:val="17"/>
                <w:szCs w:val="17"/>
                <w:color w:val="auto"/>
              </w:rPr>
            </w:pPr>
          </w:p>
        </w:tc>
        <w:tc>
          <w:tcPr>
            <w:tcW w:w="5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980" w:type="dxa"/>
            <w:vAlign w:val="bottom"/>
            <w:gridSpan w:val="4"/>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and Financial Officer pursuant to 18 U.S.C. 1350, as adopted pursuant to Section 906 of the</w:t>
            </w:r>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140" w:type="dxa"/>
            <w:vAlign w:val="bottom"/>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8000" w:type="dxa"/>
            <w:vAlign w:val="bottom"/>
            <w:gridSpan w:val="6"/>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47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Schubert</w:t>
            </w:r>
          </w:p>
        </w:tc>
        <w:tc>
          <w:tcPr>
            <w:tcW w:w="12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14, 2025</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Gary Schubert</w:t>
            </w:r>
          </w:p>
        </w:tc>
        <w:tc>
          <w:tcPr>
            <w:tcW w:w="1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637"/>
        </w:trPr>
        <w:tc>
          <w:tcPr>
            <w:tcW w:w="3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jc w:val="right"/>
              <w:ind w:right="275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9" w:name="page40"/>
    <w:bookmarkEnd w:id="3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RULE 13a-14(a) AND RULE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40" w:name="page41"/>
    <w:bookmarkEnd w:id="4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RULE 13a-14(a) AND RULE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AND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 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(the “Company”) on Form 10-Q for the period ended September 30, 2025 as filed with the Securities and Exchange Commission on the date hereof (the “Report”), I, Gary Schubert,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72" Type="http://schemas.openxmlformats.org/officeDocument/2006/relationships/hyperlink" Target="http://www.sec.gov/Archives/edgar/data/312257/000114420405030172/v025859_ex3-1.htm" TargetMode="External"/><Relationship Id="rId73" Type="http://schemas.openxmlformats.org/officeDocument/2006/relationships/hyperlink" Target="http://www.sec.gov/Archives/edgar/data/312257/000118518511000325/ex3-2.htm" TargetMode="External"/><Relationship Id="rId74" Type="http://schemas.openxmlformats.org/officeDocument/2006/relationships/hyperlink" Target="http://www.sec.gov/Archives/edgar/data/312257/000118518523000204/ex_488087.htm" TargetMode="External"/><Relationship Id="rId75" Type="http://schemas.openxmlformats.org/officeDocument/2006/relationships/hyperlink" Target="https://www.sec.gov/Archives/edgar/data/312257/000118518525000883/ivfhex10-1.htm" TargetMode="External"/><Relationship Id="rId76" Type="http://schemas.openxmlformats.org/officeDocument/2006/relationships/hyperlink" Target="https://www.sec.gov/Archives/edgar/data/312257/000118518525001214/ivfhex10-1.htm" TargetMode="External"/><Relationship Id="rId77" Type="http://schemas.openxmlformats.org/officeDocument/2006/relationships/hyperlink" Target="https://www.sec.gov/Archives/edgar/data/312257/000118518525001378/ivfhex10-1.htm" TargetMode="External"/><Relationship Id="rId78" Type="http://schemas.openxmlformats.org/officeDocument/2006/relationships/hyperlink" Target="http://www.sec.gov/Archives/edgar/data/312257/000118518525001725/ivfh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2025-11-14T12:58:43Z</dcterms:created>
  <dcterms:modified xsi:type="dcterms:W3CDTF">2025-11-14T12:58:43Z</dcterms:modified>
</cp:coreProperties>
</file>